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51" w:rsidRDefault="008F4C51" w:rsidP="00A03F1D">
      <w:pPr>
        <w:ind w:right="-23"/>
        <w:rPr>
          <w:rFonts w:asciiTheme="majorHAnsi" w:hAnsiTheme="majorHAnsi" w:cstheme="majorHAnsi"/>
          <w:sz w:val="24"/>
          <w:szCs w:val="24"/>
        </w:rPr>
      </w:pPr>
    </w:p>
    <w:p w:rsidR="008F4C51" w:rsidRDefault="008F4C51" w:rsidP="00A03F1D">
      <w:pPr>
        <w:ind w:right="-2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There are many knowledge generating activities that are outside the scope of the HSE RGMS framework and do not require approval by a </w:t>
      </w:r>
      <w:r w:rsidRPr="009613F7">
        <w:rPr>
          <w:rFonts w:asciiTheme="majorHAnsi" w:hAnsiTheme="majorHAnsi" w:cstheme="majorHAnsi"/>
          <w:sz w:val="24"/>
          <w:szCs w:val="24"/>
          <w:u w:val="single"/>
        </w:rPr>
        <w:t xml:space="preserve">Research </w:t>
      </w:r>
      <w:r>
        <w:rPr>
          <w:rFonts w:asciiTheme="majorHAnsi" w:hAnsiTheme="majorHAnsi" w:cstheme="majorHAnsi"/>
          <w:sz w:val="24"/>
          <w:szCs w:val="24"/>
        </w:rPr>
        <w:t xml:space="preserve">Ethics Committee. </w:t>
      </w:r>
    </w:p>
    <w:p w:rsidR="008F4C51" w:rsidRDefault="008F4C51" w:rsidP="00A03F1D">
      <w:pPr>
        <w:ind w:right="-23"/>
        <w:rPr>
          <w:rFonts w:asciiTheme="majorHAnsi" w:hAnsiTheme="majorHAnsi" w:cstheme="majorHAnsi"/>
          <w:sz w:val="24"/>
          <w:szCs w:val="24"/>
        </w:rPr>
      </w:pPr>
    </w:p>
    <w:p w:rsidR="008F4C51" w:rsidRDefault="008F4C51" w:rsidP="00A03F1D">
      <w:pPr>
        <w:ind w:right="-2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These includes: </w:t>
      </w:r>
      <w:r w:rsidRPr="008F4C51">
        <w:rPr>
          <w:rFonts w:asciiTheme="majorHAnsi" w:hAnsiTheme="majorHAnsi" w:cstheme="majorHAnsi"/>
          <w:sz w:val="24"/>
          <w:szCs w:val="24"/>
        </w:rPr>
        <w:t>clinical audits, standard service evaluations and quality improvement projects,</w:t>
      </w:r>
      <w:r>
        <w:rPr>
          <w:rFonts w:asciiTheme="majorHAnsi" w:hAnsiTheme="majorHAnsi" w:cstheme="majorHAnsi"/>
          <w:sz w:val="24"/>
          <w:szCs w:val="24"/>
        </w:rPr>
        <w:t xml:space="preserve"> statutory public health work,</w:t>
      </w:r>
      <w:r w:rsidRPr="008F4C51">
        <w:rPr>
          <w:rFonts w:asciiTheme="majorHAnsi" w:hAnsiTheme="majorHAnsi" w:cstheme="majorHAnsi"/>
          <w:sz w:val="24"/>
          <w:szCs w:val="24"/>
        </w:rPr>
        <w:t xml:space="preserve"> advanced health analytics routinely carried out by the HSE and its funded organisations for the purpose of discharging their legal obligations and for the planning and delivery of health a</w:t>
      </w:r>
      <w:r>
        <w:rPr>
          <w:rFonts w:asciiTheme="majorHAnsi" w:hAnsiTheme="majorHAnsi" w:cstheme="majorHAnsi"/>
          <w:sz w:val="24"/>
          <w:szCs w:val="24"/>
        </w:rPr>
        <w:t>nd social health care services.</w:t>
      </w:r>
    </w:p>
    <w:p w:rsidR="009613F7" w:rsidRDefault="009613F7" w:rsidP="009613F7">
      <w:pPr>
        <w:ind w:right="-23"/>
        <w:rPr>
          <w:rFonts w:asciiTheme="majorHAnsi" w:hAnsiTheme="majorHAnsi" w:cstheme="majorHAnsi"/>
          <w:sz w:val="24"/>
          <w:szCs w:val="24"/>
        </w:rPr>
      </w:pPr>
    </w:p>
    <w:p w:rsidR="00A91E67" w:rsidRPr="008F4C51" w:rsidRDefault="009613F7" w:rsidP="00A03F1D">
      <w:pPr>
        <w:ind w:right="-23"/>
        <w:rPr>
          <w:rFonts w:asciiTheme="majorHAnsi" w:hAnsiTheme="majorHAnsi" w:cstheme="majorHAnsi"/>
          <w:color w:val="1F497D"/>
          <w:sz w:val="24"/>
          <w:szCs w:val="24"/>
        </w:rPr>
      </w:pPr>
      <w:r w:rsidRPr="009613F7">
        <w:rPr>
          <w:rFonts w:asciiTheme="majorHAnsi" w:hAnsiTheme="majorHAnsi" w:cstheme="majorHAnsi"/>
          <w:b/>
          <w:bCs/>
          <w:sz w:val="24"/>
          <w:szCs w:val="24"/>
        </w:rPr>
        <w:t>However, in certain instances, ethical oversight outside the remit of the REC maybe required for such activities</w:t>
      </w:r>
      <w:r>
        <w:rPr>
          <w:rFonts w:asciiTheme="majorHAnsi" w:hAnsiTheme="majorHAnsi" w:cstheme="majorHAnsi"/>
          <w:sz w:val="24"/>
          <w:szCs w:val="24"/>
        </w:rPr>
        <w:t xml:space="preserve">. This oversight </w:t>
      </w:r>
      <w:proofErr w:type="gramStart"/>
      <w:r w:rsidRPr="009613F7">
        <w:rPr>
          <w:rFonts w:asciiTheme="majorHAnsi" w:hAnsiTheme="majorHAnsi" w:cstheme="majorHAnsi"/>
          <w:sz w:val="24"/>
          <w:szCs w:val="24"/>
        </w:rPr>
        <w:t>can be provided</w:t>
      </w:r>
      <w:proofErr w:type="gramEnd"/>
      <w:r w:rsidRPr="009613F7">
        <w:rPr>
          <w:rFonts w:asciiTheme="majorHAnsi" w:hAnsiTheme="majorHAnsi" w:cstheme="majorHAnsi"/>
          <w:sz w:val="24"/>
          <w:szCs w:val="24"/>
        </w:rPr>
        <w:t xml:space="preserve"> by a variety of mechanisms in accordance with the local governance requirement of each service. When ethical oversight </w:t>
      </w:r>
      <w:proofErr w:type="gramStart"/>
      <w:r w:rsidRPr="009613F7">
        <w:rPr>
          <w:rFonts w:asciiTheme="majorHAnsi" w:hAnsiTheme="majorHAnsi" w:cstheme="majorHAnsi"/>
          <w:sz w:val="24"/>
          <w:szCs w:val="24"/>
        </w:rPr>
        <w:t>is deemed</w:t>
      </w:r>
      <w:proofErr w:type="gramEnd"/>
      <w:r w:rsidRPr="009613F7">
        <w:rPr>
          <w:rFonts w:asciiTheme="majorHAnsi" w:hAnsiTheme="majorHAnsi" w:cstheme="majorHAnsi"/>
          <w:sz w:val="24"/>
          <w:szCs w:val="24"/>
        </w:rPr>
        <w:t xml:space="preserve"> necessary but no other arrangement for ethical governance exist at local level, the relevant REC may agree to review the </w:t>
      </w:r>
      <w:r>
        <w:rPr>
          <w:rFonts w:asciiTheme="majorHAnsi" w:hAnsiTheme="majorHAnsi" w:cstheme="majorHAnsi"/>
          <w:sz w:val="24"/>
          <w:szCs w:val="24"/>
        </w:rPr>
        <w:t xml:space="preserve">projects. In </w:t>
      </w:r>
      <w:proofErr w:type="gramStart"/>
      <w:r>
        <w:rPr>
          <w:rFonts w:asciiTheme="majorHAnsi" w:hAnsiTheme="majorHAnsi" w:cstheme="majorHAnsi"/>
          <w:sz w:val="24"/>
          <w:szCs w:val="24"/>
        </w:rPr>
        <w:t>these case</w:t>
      </w:r>
      <w:proofErr w:type="gramEnd"/>
      <w:r>
        <w:rPr>
          <w:rFonts w:asciiTheme="majorHAnsi" w:hAnsiTheme="majorHAnsi" w:cstheme="majorHAnsi"/>
          <w:sz w:val="24"/>
          <w:szCs w:val="24"/>
        </w:rPr>
        <w:t>,</w:t>
      </w:r>
      <w:r w:rsidRPr="009613F7">
        <w:rPr>
          <w:rFonts w:asciiTheme="majorHAnsi" w:hAnsiTheme="majorHAnsi" w:cstheme="majorHAnsi"/>
          <w:sz w:val="24"/>
          <w:szCs w:val="24"/>
        </w:rPr>
        <w:t xml:space="preserve"> it is recommended that the REC membership includes members with expertise in such types of activities. </w:t>
      </w:r>
      <w:bookmarkStart w:id="0" w:name="_GoBack"/>
      <w:bookmarkEnd w:id="0"/>
      <w:r w:rsidR="008F4C51">
        <w:rPr>
          <w:rFonts w:asciiTheme="majorHAnsi" w:hAnsiTheme="majorHAnsi" w:cstheme="majorHAnsi"/>
          <w:sz w:val="24"/>
          <w:szCs w:val="24"/>
        </w:rPr>
        <w:t>The tool below</w:t>
      </w:r>
      <w:r w:rsidR="008F4C51">
        <w:rPr>
          <w:rStyle w:val="FootnoteReference"/>
          <w:rFonts w:asciiTheme="majorHAnsi" w:hAnsiTheme="majorHAnsi" w:cstheme="majorHAnsi"/>
          <w:sz w:val="24"/>
          <w:szCs w:val="24"/>
        </w:rPr>
        <w:footnoteReference w:id="1"/>
      </w:r>
      <w:r w:rsidR="008F4C51">
        <w:rPr>
          <w:rFonts w:asciiTheme="majorHAnsi" w:hAnsiTheme="majorHAnsi" w:cstheme="majorHAnsi"/>
          <w:sz w:val="24"/>
          <w:szCs w:val="24"/>
        </w:rPr>
        <w:t xml:space="preserve"> can be used to assess such a risk- answering Yes to any of the questions below would indicate that ethical oversight is required. </w:t>
      </w:r>
    </w:p>
    <w:p w:rsidR="00A91E67" w:rsidRPr="008F4C51" w:rsidRDefault="00A91E67" w:rsidP="00A91E67">
      <w:pPr>
        <w:rPr>
          <w:rFonts w:asciiTheme="majorHAnsi" w:hAnsiTheme="majorHAnsi" w:cstheme="majorHAnsi"/>
          <w:color w:val="1F497D"/>
          <w:sz w:val="24"/>
          <w:szCs w:val="24"/>
        </w:rPr>
      </w:pPr>
    </w:p>
    <w:tbl>
      <w:tblPr>
        <w:tblpPr w:leftFromText="180" w:rightFromText="180" w:bottomFromText="115" w:vertAnchor="text" w:tblpXSpec="center" w:tblpYSpec="center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1"/>
        <w:gridCol w:w="737"/>
        <w:gridCol w:w="737"/>
        <w:gridCol w:w="699"/>
      </w:tblGrid>
      <w:tr w:rsidR="00DD70FE" w:rsidRPr="008F4C51" w:rsidTr="00DD70FE">
        <w:trPr>
          <w:trHeight w:val="300"/>
          <w:jc w:val="center"/>
        </w:trPr>
        <w:tc>
          <w:tcPr>
            <w:tcW w:w="3918" w:type="pct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F4C5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 xml:space="preserve">Will the proposed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367" w:type="pct"/>
            <w:shd w:val="clear" w:color="auto" w:fill="A6A6A6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>Yes</w:t>
            </w:r>
          </w:p>
        </w:tc>
        <w:tc>
          <w:tcPr>
            <w:tcW w:w="367" w:type="pct"/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348" w:type="pct"/>
            <w:shd w:val="clear" w:color="auto" w:fill="A6A6A6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>N/A</w:t>
            </w:r>
          </w:p>
        </w:tc>
      </w:tr>
      <w:tr w:rsidR="00DD70FE" w:rsidRPr="008F4C51" w:rsidTr="00C40C42">
        <w:trPr>
          <w:trHeight w:val="365"/>
          <w:jc w:val="center"/>
        </w:trPr>
        <w:tc>
          <w:tcPr>
            <w:tcW w:w="39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8F4C51"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  <w:t>Infringe on any patient’s rights or risk breaching any patient’s confidentiality or privacy?</w:t>
            </w:r>
          </w:p>
        </w:tc>
        <w:tc>
          <w:tcPr>
            <w:tcW w:w="367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48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</w:tr>
      <w:tr w:rsidR="00DD70FE" w:rsidRPr="008F4C51" w:rsidTr="009C4829">
        <w:trPr>
          <w:trHeight w:val="365"/>
          <w:jc w:val="center"/>
        </w:trPr>
        <w:tc>
          <w:tcPr>
            <w:tcW w:w="39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8F4C51"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  <w:t>Test a hypothesis as distinct to measuring against a recognised benchmark?</w:t>
            </w:r>
          </w:p>
        </w:tc>
        <w:tc>
          <w:tcPr>
            <w:tcW w:w="367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48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</w:tr>
      <w:tr w:rsidR="00DD70FE" w:rsidRPr="008F4C51" w:rsidTr="00B511F6">
        <w:trPr>
          <w:trHeight w:val="365"/>
          <w:jc w:val="center"/>
        </w:trPr>
        <w:tc>
          <w:tcPr>
            <w:tcW w:w="39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8F4C51"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  <w:t>Involve the use of any untested intervention - clinical or system?</w:t>
            </w:r>
          </w:p>
        </w:tc>
        <w:tc>
          <w:tcPr>
            <w:tcW w:w="367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48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</w:tr>
      <w:tr w:rsidR="00DD70FE" w:rsidRPr="008F4C51" w:rsidTr="00ED4626">
        <w:trPr>
          <w:trHeight w:val="356"/>
          <w:jc w:val="center"/>
        </w:trPr>
        <w:tc>
          <w:tcPr>
            <w:tcW w:w="39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8F4C51"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  <w:t>Pose any risk for or burden on a patient beyond those of his or her routine care?</w:t>
            </w:r>
          </w:p>
        </w:tc>
        <w:tc>
          <w:tcPr>
            <w:tcW w:w="367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48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</w:tr>
      <w:tr w:rsidR="00DD70FE" w:rsidRPr="008F4C51" w:rsidTr="00547124">
        <w:trPr>
          <w:trHeight w:val="264"/>
          <w:jc w:val="center"/>
        </w:trPr>
        <w:tc>
          <w:tcPr>
            <w:tcW w:w="39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8F4C51"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  <w:t>Involve any clinically significant departure from usual clinical care?</w:t>
            </w:r>
          </w:p>
        </w:tc>
        <w:tc>
          <w:tcPr>
            <w:tcW w:w="367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48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</w:tr>
      <w:tr w:rsidR="00DD70FE" w:rsidRPr="008F4C51" w:rsidTr="00967712">
        <w:trPr>
          <w:trHeight w:val="594"/>
          <w:jc w:val="center"/>
        </w:trPr>
        <w:tc>
          <w:tcPr>
            <w:tcW w:w="39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8F4C51"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  <w:t>Gather any information about any patient other than information that is ordinarily collected as part of providing routine care for the patient?</w:t>
            </w:r>
          </w:p>
        </w:tc>
        <w:tc>
          <w:tcPr>
            <w:tcW w:w="367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48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</w:tr>
      <w:tr w:rsidR="00DD70FE" w:rsidRPr="008F4C51" w:rsidTr="00066262">
        <w:trPr>
          <w:trHeight w:val="689"/>
          <w:jc w:val="center"/>
        </w:trPr>
        <w:tc>
          <w:tcPr>
            <w:tcW w:w="39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8F4C51"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  <w:t>Collect data directly from any patient or carer, and if so, could the activity subject a patient or carer to more than a minimal burden or risk if it requests sensitive information or is time consuming?</w:t>
            </w:r>
          </w:p>
        </w:tc>
        <w:tc>
          <w:tcPr>
            <w:tcW w:w="367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48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</w:tr>
      <w:tr w:rsidR="00DD70FE" w:rsidRPr="008F4C51" w:rsidTr="00980FD5">
        <w:trPr>
          <w:trHeight w:val="288"/>
          <w:jc w:val="center"/>
        </w:trPr>
        <w:tc>
          <w:tcPr>
            <w:tcW w:w="39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8F4C51"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  <w:t>Collect or disclose any data that could be used to identify any patient or any practitioner?</w:t>
            </w:r>
          </w:p>
        </w:tc>
        <w:tc>
          <w:tcPr>
            <w:tcW w:w="367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48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</w:tr>
      <w:tr w:rsidR="00DD70FE" w:rsidRPr="008F4C51" w:rsidTr="00F85C23">
        <w:trPr>
          <w:trHeight w:val="1174"/>
          <w:jc w:val="center"/>
        </w:trPr>
        <w:tc>
          <w:tcPr>
            <w:tcW w:w="39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8F4C51"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  <w:t>Have someone carrying out the activity who does not normally have access to patient’s records? People who normally have access to patients’ records when a duty of confidentiality is included in their job descriptions providing direct patient care and staff employed to support clinical audit or QI activities include clinical staff.</w:t>
            </w:r>
          </w:p>
        </w:tc>
        <w:tc>
          <w:tcPr>
            <w:tcW w:w="367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48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</w:tr>
      <w:tr w:rsidR="00DD70FE" w:rsidRPr="008F4C51" w:rsidTr="00B20E78">
        <w:trPr>
          <w:trHeight w:val="521"/>
          <w:jc w:val="center"/>
        </w:trPr>
        <w:tc>
          <w:tcPr>
            <w:tcW w:w="39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8F4C51"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  <w:t>Involve a potential conflict of obligation to individual patients or to all patients such as if the activity involves a trade-off between cost and quality?</w:t>
            </w:r>
          </w:p>
        </w:tc>
        <w:tc>
          <w:tcPr>
            <w:tcW w:w="367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48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</w:tr>
      <w:tr w:rsidR="00DD70FE" w:rsidRPr="008F4C51" w:rsidTr="001E3E85">
        <w:trPr>
          <w:trHeight w:val="510"/>
          <w:jc w:val="center"/>
        </w:trPr>
        <w:tc>
          <w:tcPr>
            <w:tcW w:w="39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8F4C51"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  <w:t>Allocate any interventions differently among groups of patients or staff, for example, in implementing a change in practice?</w:t>
            </w:r>
          </w:p>
        </w:tc>
        <w:tc>
          <w:tcPr>
            <w:tcW w:w="367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  <w:tc>
          <w:tcPr>
            <w:tcW w:w="348" w:type="pct"/>
            <w:vAlign w:val="center"/>
          </w:tcPr>
          <w:p w:rsidR="00DD70FE" w:rsidRPr="008F4C51" w:rsidRDefault="00DD70FE" w:rsidP="00DD70FE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613F7">
              <w:fldChar w:fldCharType="separate"/>
            </w:r>
            <w:r>
              <w:fldChar w:fldCharType="end"/>
            </w:r>
          </w:p>
        </w:tc>
      </w:tr>
    </w:tbl>
    <w:p w:rsidR="00BB118D" w:rsidRPr="008F4C51" w:rsidRDefault="00BB118D" w:rsidP="00DD70FE">
      <w:pPr>
        <w:rPr>
          <w:rFonts w:asciiTheme="majorHAnsi" w:hAnsiTheme="majorHAnsi" w:cstheme="majorHAnsi"/>
          <w:sz w:val="24"/>
          <w:szCs w:val="24"/>
        </w:rPr>
      </w:pPr>
    </w:p>
    <w:sectPr w:rsidR="00BB118D" w:rsidRPr="008F4C51" w:rsidSect="00A03F1D">
      <w:headerReference w:type="default" r:id="rId7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51" w:rsidRDefault="008F4C51" w:rsidP="008F4C51">
      <w:r>
        <w:separator/>
      </w:r>
    </w:p>
  </w:endnote>
  <w:endnote w:type="continuationSeparator" w:id="0">
    <w:p w:rsidR="008F4C51" w:rsidRDefault="008F4C51" w:rsidP="008F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51" w:rsidRDefault="008F4C51" w:rsidP="008F4C51">
      <w:r>
        <w:separator/>
      </w:r>
    </w:p>
  </w:footnote>
  <w:footnote w:type="continuationSeparator" w:id="0">
    <w:p w:rsidR="008F4C51" w:rsidRDefault="008F4C51" w:rsidP="008F4C51">
      <w:r>
        <w:continuationSeparator/>
      </w:r>
    </w:p>
  </w:footnote>
  <w:footnote w:id="1">
    <w:p w:rsidR="008F4C51" w:rsidRDefault="008F4C51">
      <w:pPr>
        <w:pStyle w:val="FootnoteText"/>
      </w:pPr>
      <w:r w:rsidRPr="00DD70FE">
        <w:rPr>
          <w:rStyle w:val="FootnoteReference"/>
        </w:rPr>
        <w:footnoteRef/>
      </w:r>
      <w:r w:rsidR="00DD70FE" w:rsidRPr="00DD70FE">
        <w:t xml:space="preserve"> Clinical Audit A Practical Guide 2023, HSE National Centre for Clinical Audit, National Quality and Patient Safety Directorate. Dublin: Health Service Executive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51" w:rsidRDefault="008F4C5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542706D3" wp14:editId="783D9E8C">
          <wp:simplePos x="0" y="0"/>
          <wp:positionH relativeFrom="column">
            <wp:posOffset>3528060</wp:posOffset>
          </wp:positionH>
          <wp:positionV relativeFrom="paragraph">
            <wp:posOffset>-145415</wp:posOffset>
          </wp:positionV>
          <wp:extent cx="3356610" cy="640080"/>
          <wp:effectExtent l="0" t="0" r="0" b="7620"/>
          <wp:wrapThrough wrapText="bothSides">
            <wp:wrapPolygon edited="0">
              <wp:start x="0" y="0"/>
              <wp:lineTo x="0" y="21214"/>
              <wp:lineTo x="21453" y="21214"/>
              <wp:lineTo x="2145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661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O0NDI0NTEzNTe2NLZQ0lEKTi0uzszPAykwrgUAo5zSTCwAAAA="/>
  </w:docVars>
  <w:rsids>
    <w:rsidRoot w:val="00A91E67"/>
    <w:rsid w:val="00826707"/>
    <w:rsid w:val="008F4C51"/>
    <w:rsid w:val="009613F7"/>
    <w:rsid w:val="00A03F1D"/>
    <w:rsid w:val="00A91E67"/>
    <w:rsid w:val="00BB118D"/>
    <w:rsid w:val="00DD70FE"/>
    <w:rsid w:val="00E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91D6"/>
  <w15:chartTrackingRefBased/>
  <w15:docId w15:val="{58D2DC11-7D76-4E65-9A03-BBD5531F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E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5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F4C51"/>
    <w:rPr>
      <w:i/>
      <w:iCs/>
    </w:rPr>
  </w:style>
  <w:style w:type="character" w:styleId="Strong">
    <w:name w:val="Strong"/>
    <w:basedOn w:val="DefaultParagraphFont"/>
    <w:uiPriority w:val="22"/>
    <w:qFormat/>
    <w:rsid w:val="008F4C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4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C5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4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C51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C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C5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4C5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613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157C-A1D9-4A10-B949-3D457875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Murray3</dc:creator>
  <cp:keywords/>
  <dc:description/>
  <cp:lastModifiedBy>Ana Terres</cp:lastModifiedBy>
  <cp:revision>2</cp:revision>
  <cp:lastPrinted>2023-04-18T09:42:00Z</cp:lastPrinted>
  <dcterms:created xsi:type="dcterms:W3CDTF">2023-04-21T16:28:00Z</dcterms:created>
  <dcterms:modified xsi:type="dcterms:W3CDTF">2023-04-21T16:28:00Z</dcterms:modified>
</cp:coreProperties>
</file>