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16181" w14:textId="77777777" w:rsidR="00FE7F08" w:rsidRDefault="00FE7F08" w:rsidP="00FE7F08">
      <w:pPr>
        <w:spacing w:after="375" w:line="240" w:lineRule="auto"/>
        <w:jc w:val="center"/>
        <w:rPr>
          <w:rFonts w:ascii="Times New Roman" w:eastAsia="Times New Roman" w:hAnsi="Times New Roman" w:cs="Times New Roman"/>
          <w:color w:val="000000" w:themeColor="text1"/>
          <w:sz w:val="16"/>
          <w:szCs w:val="16"/>
          <w:lang w:eastAsia="en-IE"/>
        </w:rPr>
      </w:pPr>
    </w:p>
    <w:p w14:paraId="3A26512E"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56"/>
          <w:szCs w:val="56"/>
          <w:lang w:eastAsia="en-IE"/>
        </w:rPr>
      </w:pPr>
      <w:r>
        <w:rPr>
          <w:noProof/>
          <w:lang w:eastAsia="en-IE"/>
        </w:rPr>
        <w:drawing>
          <wp:inline distT="0" distB="0" distL="0" distR="0" wp14:anchorId="338F4E44" wp14:editId="1BBA6471">
            <wp:extent cx="2133600" cy="1446756"/>
            <wp:effectExtent l="0" t="0" r="0" b="1270"/>
            <wp:docPr id="1" name="Picture 1" descr="h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615" cy="1448800"/>
                    </a:xfrm>
                    <a:prstGeom prst="rect">
                      <a:avLst/>
                    </a:prstGeom>
                    <a:noFill/>
                    <a:ln>
                      <a:noFill/>
                    </a:ln>
                  </pic:spPr>
                </pic:pic>
              </a:graphicData>
            </a:graphic>
          </wp:inline>
        </w:drawing>
      </w:r>
    </w:p>
    <w:p w14:paraId="6B0517D7" w14:textId="77777777" w:rsidR="00C10D05" w:rsidRDefault="00C10D05" w:rsidP="00C10D05">
      <w:pPr>
        <w:spacing w:after="375" w:line="240" w:lineRule="auto"/>
        <w:rPr>
          <w:rFonts w:ascii="Times New Roman" w:eastAsia="Times New Roman" w:hAnsi="Times New Roman" w:cs="Times New Roman"/>
          <w:b/>
          <w:color w:val="000000" w:themeColor="text1"/>
          <w:sz w:val="56"/>
          <w:szCs w:val="56"/>
          <w:lang w:eastAsia="en-IE"/>
        </w:rPr>
      </w:pPr>
    </w:p>
    <w:p w14:paraId="3D7093E8" w14:textId="77777777" w:rsidR="00533B19" w:rsidRDefault="00533B19" w:rsidP="00FE7F08">
      <w:pPr>
        <w:spacing w:after="375" w:line="240" w:lineRule="auto"/>
        <w:jc w:val="center"/>
        <w:rPr>
          <w:rFonts w:ascii="Times New Roman" w:eastAsia="Times New Roman" w:hAnsi="Times New Roman" w:cs="Times New Roman"/>
          <w:b/>
          <w:color w:val="000000" w:themeColor="text1"/>
          <w:sz w:val="56"/>
          <w:szCs w:val="56"/>
          <w:lang w:eastAsia="en-IE"/>
        </w:rPr>
      </w:pPr>
      <w:r w:rsidRPr="00824A82">
        <w:rPr>
          <w:rFonts w:ascii="Times New Roman" w:eastAsia="Times New Roman" w:hAnsi="Times New Roman" w:cs="Times New Roman"/>
          <w:b/>
          <w:color w:val="000000" w:themeColor="text1"/>
          <w:sz w:val="56"/>
          <w:szCs w:val="56"/>
          <w:lang w:eastAsia="en-IE"/>
        </w:rPr>
        <w:t xml:space="preserve">Transfer Impact Assessment (TIA) </w:t>
      </w:r>
    </w:p>
    <w:p w14:paraId="22E70E6A" w14:textId="77777777" w:rsidR="00824A82" w:rsidRPr="00824A82" w:rsidRDefault="00824A82" w:rsidP="00FE7F08">
      <w:pPr>
        <w:spacing w:after="375" w:line="240" w:lineRule="auto"/>
        <w:jc w:val="center"/>
        <w:rPr>
          <w:rFonts w:ascii="Times New Roman" w:eastAsia="Times New Roman" w:hAnsi="Times New Roman" w:cs="Times New Roman"/>
          <w:b/>
          <w:color w:val="000000" w:themeColor="text1"/>
          <w:sz w:val="56"/>
          <w:szCs w:val="56"/>
          <w:lang w:eastAsia="en-IE"/>
        </w:rPr>
      </w:pPr>
      <w:r>
        <w:rPr>
          <w:rFonts w:ascii="Times New Roman" w:eastAsia="Times New Roman" w:hAnsi="Times New Roman" w:cs="Times New Roman"/>
          <w:b/>
          <w:color w:val="000000" w:themeColor="text1"/>
          <w:sz w:val="56"/>
          <w:szCs w:val="56"/>
          <w:lang w:eastAsia="en-IE"/>
        </w:rPr>
        <w:t>Template</w:t>
      </w:r>
    </w:p>
    <w:p w14:paraId="1520B7E6"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33BBFA8"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6346659"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634747C3" w14:textId="77777777" w:rsidR="00824A82" w:rsidRDefault="00824A82"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098DF1A"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43B3CB6D"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638FEC69"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36D73DA"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390247C4"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787EE51"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24CE512D" w14:textId="77777777" w:rsidR="00C10D05" w:rsidRDefault="00C10D05" w:rsidP="00FE7F08">
      <w:pPr>
        <w:spacing w:after="375" w:line="240" w:lineRule="auto"/>
        <w:jc w:val="center"/>
        <w:rPr>
          <w:rFonts w:ascii="Times New Roman" w:eastAsia="Times New Roman" w:hAnsi="Times New Roman" w:cs="Times New Roman"/>
          <w:b/>
          <w:color w:val="000000" w:themeColor="text1"/>
          <w:sz w:val="28"/>
          <w:szCs w:val="28"/>
          <w:lang w:eastAsia="en-IE"/>
        </w:rPr>
      </w:pPr>
    </w:p>
    <w:p w14:paraId="1A0CE439" w14:textId="77777777" w:rsidR="00C10D05" w:rsidRDefault="00C10D05" w:rsidP="00C07835">
      <w:pPr>
        <w:spacing w:after="375" w:line="240" w:lineRule="auto"/>
        <w:jc w:val="center"/>
        <w:rPr>
          <w:rFonts w:ascii="Times New Roman" w:eastAsia="Times New Roman" w:hAnsi="Times New Roman" w:cs="Times New Roman"/>
          <w:b/>
          <w:color w:val="000000" w:themeColor="text1"/>
          <w:sz w:val="28"/>
          <w:szCs w:val="28"/>
          <w:lang w:eastAsia="en-IE"/>
        </w:rPr>
      </w:pPr>
    </w:p>
    <w:p w14:paraId="7B9C0D02" w14:textId="77777777" w:rsidR="00C10D05" w:rsidRPr="00C07835" w:rsidRDefault="00C10D05" w:rsidP="00C07835">
      <w:pPr>
        <w:spacing w:after="60" w:line="240" w:lineRule="auto"/>
        <w:ind w:left="57" w:right="57"/>
        <w:jc w:val="center"/>
        <w:rPr>
          <w:rFonts w:ascii="Times New Roman" w:hAnsi="Times New Roman" w:cs="Times New Roman"/>
          <w:sz w:val="24"/>
          <w:szCs w:val="24"/>
        </w:rPr>
      </w:pPr>
      <w:r w:rsidRPr="00C07835">
        <w:rPr>
          <w:rFonts w:ascii="Times New Roman" w:hAnsi="Times New Roman" w:cs="Times New Roman"/>
          <w:sz w:val="24"/>
          <w:szCs w:val="24"/>
        </w:rPr>
        <w:t>Version 1.0</w:t>
      </w:r>
    </w:p>
    <w:p w14:paraId="2CAC0FAC" w14:textId="77777777" w:rsidR="00C07835" w:rsidRDefault="00C07835" w:rsidP="00C07835">
      <w:pPr>
        <w:spacing w:after="60" w:line="240" w:lineRule="auto"/>
        <w:ind w:left="57" w:right="57"/>
        <w:rPr>
          <w:rFonts w:ascii="Times New Roman" w:hAnsi="Times New Roman" w:cs="Times New Roman"/>
          <w:sz w:val="24"/>
          <w:szCs w:val="24"/>
        </w:rPr>
      </w:pPr>
    </w:p>
    <w:p w14:paraId="5FE1FC65" w14:textId="77777777" w:rsidR="00C07835" w:rsidRDefault="00C07835" w:rsidP="00C07835">
      <w:pPr>
        <w:spacing w:after="60" w:line="240" w:lineRule="auto"/>
        <w:ind w:left="57" w:right="57"/>
        <w:rPr>
          <w:rFonts w:ascii="Times New Roman" w:hAnsi="Times New Roman" w:cs="Times New Roman"/>
          <w:sz w:val="24"/>
          <w:szCs w:val="24"/>
        </w:rPr>
      </w:pPr>
    </w:p>
    <w:p w14:paraId="7B9C9065" w14:textId="77777777" w:rsidR="00C10D05" w:rsidRPr="00C07835" w:rsidRDefault="00C10D05"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lastRenderedPageBreak/>
        <w:t>Introduction</w:t>
      </w:r>
    </w:p>
    <w:p w14:paraId="405C6D80"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4E19640" w14:textId="77777777" w:rsidR="00604C91" w:rsidRDefault="00604C91" w:rsidP="00410CFD">
      <w:pPr>
        <w:autoSpaceDE w:val="0"/>
        <w:autoSpaceDN w:val="0"/>
        <w:adjustRightInd w:val="0"/>
        <w:spacing w:after="0" w:line="240" w:lineRule="auto"/>
        <w:jc w:val="both"/>
        <w:rPr>
          <w:rFonts w:ascii="Times New Roman" w:hAnsi="Times New Roman" w:cs="Times New Roman"/>
          <w:sz w:val="24"/>
          <w:szCs w:val="24"/>
        </w:rPr>
      </w:pPr>
      <w:r w:rsidRPr="00C07835">
        <w:rPr>
          <w:rFonts w:ascii="Times New Roman" w:hAnsi="Times New Roman" w:cs="Times New Roman"/>
          <w:sz w:val="24"/>
          <w:szCs w:val="24"/>
        </w:rPr>
        <w:t>In July 2020, in its Schrems II judgement, the Court of Justice of the European Union (CJEU) decided that</w:t>
      </w:r>
      <w:r w:rsidR="00AA536D" w:rsidRPr="00C07835">
        <w:rPr>
          <w:rFonts w:ascii="Times New Roman" w:hAnsi="Times New Roman" w:cs="Times New Roman"/>
          <w:sz w:val="24"/>
          <w:szCs w:val="24"/>
        </w:rPr>
        <w:t>,</w:t>
      </w:r>
      <w:r w:rsidRPr="00C07835">
        <w:rPr>
          <w:rFonts w:ascii="Times New Roman" w:hAnsi="Times New Roman" w:cs="Times New Roman"/>
          <w:sz w:val="24"/>
          <w:szCs w:val="24"/>
        </w:rPr>
        <w:t xml:space="preserve"> while EU Standard Contractual Clauses (SCCs) remain a valid legal mechanism under Article 46 of the GDPR for transferring personal data outside the European Economic Area (EEA), th</w:t>
      </w:r>
      <w:r w:rsidR="00410CFD">
        <w:rPr>
          <w:rFonts w:ascii="Times New Roman" w:hAnsi="Times New Roman" w:cs="Times New Roman"/>
          <w:sz w:val="24"/>
          <w:szCs w:val="24"/>
        </w:rPr>
        <w:t>ere is also a need to assess, on a case-by-case basis, whether the personal data being transferred will be adequately protected</w:t>
      </w:r>
      <w:r w:rsidRPr="00C07835">
        <w:rPr>
          <w:rFonts w:ascii="Times New Roman" w:hAnsi="Times New Roman" w:cs="Times New Roman"/>
          <w:sz w:val="24"/>
          <w:szCs w:val="24"/>
        </w:rPr>
        <w:t xml:space="preserve">. </w:t>
      </w:r>
      <w:r w:rsidR="00410CFD" w:rsidRPr="00410CFD">
        <w:rPr>
          <w:rFonts w:ascii="Times New Roman" w:hAnsi="Times New Roman" w:cs="Times New Roman"/>
          <w:sz w:val="24"/>
          <w:szCs w:val="24"/>
        </w:rPr>
        <w:t>Where the level of protection provided by the SCCs</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would not be ‘essentially equivalent’ to the level found in the European Union, the parties must put in</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place supplementary measures to bring the level of protection up to that standard.</w:t>
      </w:r>
    </w:p>
    <w:p w14:paraId="4D4DEB6B" w14:textId="77777777" w:rsidR="00C07835" w:rsidRPr="00C07835" w:rsidRDefault="00C07835" w:rsidP="00C07835">
      <w:pPr>
        <w:spacing w:after="60" w:line="240" w:lineRule="auto"/>
        <w:ind w:left="57" w:right="57"/>
        <w:jc w:val="both"/>
        <w:rPr>
          <w:rFonts w:ascii="Times New Roman" w:hAnsi="Times New Roman" w:cs="Times New Roman"/>
          <w:sz w:val="24"/>
          <w:szCs w:val="24"/>
        </w:rPr>
      </w:pPr>
    </w:p>
    <w:p w14:paraId="414D3D5D" w14:textId="77777777" w:rsidR="00604C91" w:rsidRDefault="00604C91" w:rsidP="00C07835">
      <w:pPr>
        <w:spacing w:after="60" w:line="240" w:lineRule="auto"/>
        <w:ind w:left="57" w:right="57"/>
        <w:jc w:val="both"/>
        <w:rPr>
          <w:rFonts w:ascii="Times New Roman" w:hAnsi="Times New Roman" w:cs="Times New Roman"/>
          <w:sz w:val="24"/>
          <w:szCs w:val="24"/>
        </w:rPr>
      </w:pPr>
      <w:r w:rsidRPr="00C07835">
        <w:rPr>
          <w:rFonts w:ascii="Times New Roman" w:hAnsi="Times New Roman" w:cs="Times New Roman"/>
          <w:sz w:val="24"/>
          <w:szCs w:val="24"/>
        </w:rPr>
        <w:t>In practice, the decision by the CJEU means that o</w:t>
      </w:r>
      <w:r w:rsidR="00427B04" w:rsidRPr="00C07835">
        <w:rPr>
          <w:rFonts w:ascii="Times New Roman" w:hAnsi="Times New Roman" w:cs="Times New Roman"/>
          <w:sz w:val="24"/>
          <w:szCs w:val="24"/>
        </w:rPr>
        <w:t>rganisations like the HSE (i.e.</w:t>
      </w:r>
      <w:r w:rsidR="003E7AFA" w:rsidRPr="00C07835">
        <w:rPr>
          <w:rFonts w:ascii="Times New Roman" w:hAnsi="Times New Roman" w:cs="Times New Roman"/>
          <w:sz w:val="24"/>
          <w:szCs w:val="24"/>
        </w:rPr>
        <w:t xml:space="preserve"> </w:t>
      </w:r>
      <w:r w:rsidRPr="00C07835">
        <w:rPr>
          <w:rFonts w:ascii="Times New Roman" w:hAnsi="Times New Roman" w:cs="Times New Roman"/>
          <w:sz w:val="24"/>
          <w:szCs w:val="24"/>
        </w:rPr>
        <w:t>‘data exp</w:t>
      </w:r>
      <w:r w:rsidR="00AA536D" w:rsidRPr="00C07835">
        <w:rPr>
          <w:rFonts w:ascii="Times New Roman" w:hAnsi="Times New Roman" w:cs="Times New Roman"/>
          <w:sz w:val="24"/>
          <w:szCs w:val="24"/>
        </w:rPr>
        <w:t xml:space="preserve">orter’) who are using either </w:t>
      </w:r>
      <w:r w:rsidRPr="00C07835">
        <w:rPr>
          <w:rFonts w:ascii="Times New Roman" w:hAnsi="Times New Roman" w:cs="Times New Roman"/>
          <w:sz w:val="24"/>
          <w:szCs w:val="24"/>
        </w:rPr>
        <w:t xml:space="preserve">SCCs or any other </w:t>
      </w:r>
      <w:r w:rsidR="00AA536D" w:rsidRPr="00C07835">
        <w:rPr>
          <w:rFonts w:ascii="Times New Roman" w:hAnsi="Times New Roman" w:cs="Times New Roman"/>
          <w:sz w:val="24"/>
          <w:szCs w:val="24"/>
        </w:rPr>
        <w:t xml:space="preserve">transfer </w:t>
      </w:r>
      <w:r w:rsidRPr="00C07835">
        <w:rPr>
          <w:rFonts w:ascii="Times New Roman" w:hAnsi="Times New Roman" w:cs="Times New Roman"/>
          <w:sz w:val="24"/>
          <w:szCs w:val="24"/>
        </w:rPr>
        <w:t xml:space="preserve">mechanism under Article 46 of the GDPR, are legally required to carry out a Transfer Impact Assessment (aka Transfer Risk Assessment) before transferring personal data outside the EEA. </w:t>
      </w:r>
    </w:p>
    <w:p w14:paraId="4B37FC4A"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DD6851D" w14:textId="77777777" w:rsidR="00604C91" w:rsidRDefault="00604C91"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What is a Transfer Impact Assessment (TIA)</w:t>
      </w:r>
      <w:r w:rsidR="00C07835">
        <w:rPr>
          <w:rFonts w:ascii="Times New Roman" w:hAnsi="Times New Roman" w:cs="Times New Roman"/>
          <w:b/>
          <w:sz w:val="24"/>
          <w:szCs w:val="24"/>
        </w:rPr>
        <w:t>?</w:t>
      </w:r>
    </w:p>
    <w:p w14:paraId="69BD8864"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272662E2" w14:textId="77777777" w:rsidR="00604C91"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A Transfer Impact Assessment (TIA) is a type of risk assessment that enables organisations like the HSE (i.e. ‘data ex</w:t>
      </w:r>
      <w:r w:rsidR="00AA536D" w:rsidRPr="00C07835">
        <w:rPr>
          <w:rFonts w:ascii="Times New Roman" w:hAnsi="Times New Roman" w:cs="Times New Roman"/>
          <w:sz w:val="24"/>
          <w:szCs w:val="24"/>
        </w:rPr>
        <w:t xml:space="preserve">porter’) to determine if the </w:t>
      </w:r>
      <w:r w:rsidRPr="00C07835">
        <w:rPr>
          <w:rFonts w:ascii="Times New Roman" w:hAnsi="Times New Roman" w:cs="Times New Roman"/>
          <w:sz w:val="24"/>
          <w:szCs w:val="24"/>
        </w:rPr>
        <w:t xml:space="preserve">SCCs or other mechanism under Article 46 of the GDPR, </w:t>
      </w:r>
      <w:r w:rsidR="00410CFD">
        <w:rPr>
          <w:rFonts w:ascii="Times New Roman" w:hAnsi="Times New Roman" w:cs="Times New Roman"/>
          <w:sz w:val="24"/>
          <w:szCs w:val="24"/>
        </w:rPr>
        <w:t xml:space="preserve">that </w:t>
      </w:r>
      <w:r w:rsidRPr="00C07835">
        <w:rPr>
          <w:rFonts w:ascii="Times New Roman" w:hAnsi="Times New Roman" w:cs="Times New Roman"/>
          <w:sz w:val="24"/>
          <w:szCs w:val="24"/>
        </w:rPr>
        <w:t xml:space="preserve">they intend using for transferring personal data outside the EEA provides an adequate level of protection in the </w:t>
      </w:r>
      <w:r w:rsidR="00410CFD">
        <w:rPr>
          <w:rFonts w:ascii="Times New Roman" w:hAnsi="Times New Roman" w:cs="Times New Roman"/>
          <w:sz w:val="24"/>
          <w:szCs w:val="24"/>
        </w:rPr>
        <w:t xml:space="preserve">specific </w:t>
      </w:r>
      <w:r w:rsidRPr="00C07835">
        <w:rPr>
          <w:rFonts w:ascii="Times New Roman" w:hAnsi="Times New Roman" w:cs="Times New Roman"/>
          <w:sz w:val="24"/>
          <w:szCs w:val="24"/>
        </w:rPr>
        <w:t xml:space="preserve">circumstances of that transfer. </w:t>
      </w:r>
    </w:p>
    <w:p w14:paraId="06AC49ED"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1A9CCA10" w14:textId="77777777" w:rsidR="00427B04"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The TIA must evaluate whether the laws and practices in the country outside the EEA</w:t>
      </w:r>
      <w:r w:rsidR="00AA536D" w:rsidRPr="00C07835">
        <w:rPr>
          <w:rFonts w:ascii="Times New Roman" w:hAnsi="Times New Roman" w:cs="Times New Roman"/>
          <w:sz w:val="24"/>
          <w:szCs w:val="24"/>
        </w:rPr>
        <w:t xml:space="preserve"> (i.e. third country) </w:t>
      </w:r>
      <w:r w:rsidRPr="00C07835">
        <w:rPr>
          <w:rFonts w:ascii="Times New Roman" w:hAnsi="Times New Roman" w:cs="Times New Roman"/>
          <w:sz w:val="24"/>
          <w:szCs w:val="24"/>
        </w:rPr>
        <w:t>where the personal data is being transferred</w:t>
      </w:r>
      <w:r w:rsidR="00AA536D" w:rsidRPr="00C07835">
        <w:rPr>
          <w:rFonts w:ascii="Times New Roman" w:hAnsi="Times New Roman" w:cs="Times New Roman"/>
          <w:sz w:val="24"/>
          <w:szCs w:val="24"/>
        </w:rPr>
        <w:t xml:space="preserve"> to or accessed from</w:t>
      </w:r>
      <w:r w:rsidR="00410CFD">
        <w:rPr>
          <w:rFonts w:ascii="Times New Roman" w:hAnsi="Times New Roman" w:cs="Times New Roman"/>
          <w:sz w:val="24"/>
          <w:szCs w:val="24"/>
        </w:rPr>
        <w:t>, provides ‘essentially equivalent’</w:t>
      </w:r>
      <w:r w:rsidRPr="00C07835">
        <w:rPr>
          <w:rFonts w:ascii="Times New Roman" w:hAnsi="Times New Roman" w:cs="Times New Roman"/>
          <w:sz w:val="24"/>
          <w:szCs w:val="24"/>
        </w:rPr>
        <w:t xml:space="preserve"> protection and does not impinge</w:t>
      </w:r>
      <w:r w:rsidR="00AA536D" w:rsidRPr="00C07835">
        <w:rPr>
          <w:rFonts w:ascii="Times New Roman" w:hAnsi="Times New Roman" w:cs="Times New Roman"/>
          <w:sz w:val="24"/>
          <w:szCs w:val="24"/>
        </w:rPr>
        <w:t xml:space="preserve"> on the effectiveness of the </w:t>
      </w:r>
      <w:r w:rsidRPr="00C07835">
        <w:rPr>
          <w:rFonts w:ascii="Times New Roman" w:hAnsi="Times New Roman" w:cs="Times New Roman"/>
          <w:sz w:val="24"/>
          <w:szCs w:val="24"/>
        </w:rPr>
        <w:t xml:space="preserve">SCCs or other mechanism under Article 46 of the GDPR used to facilitate the data transfer. </w:t>
      </w:r>
    </w:p>
    <w:p w14:paraId="0C008DCD"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0C4C979D" w14:textId="77777777" w:rsidR="00427B04" w:rsidRDefault="00604C91"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If the</w:t>
      </w:r>
      <w:r w:rsidR="00AA536D" w:rsidRPr="00C07835">
        <w:rPr>
          <w:rFonts w:ascii="Times New Roman" w:hAnsi="Times New Roman" w:cs="Times New Roman"/>
          <w:sz w:val="24"/>
          <w:szCs w:val="24"/>
        </w:rPr>
        <w:t xml:space="preserve"> outcome of the TIA is </w:t>
      </w:r>
      <w:r w:rsidRPr="00C07835">
        <w:rPr>
          <w:rFonts w:ascii="Times New Roman" w:hAnsi="Times New Roman" w:cs="Times New Roman"/>
          <w:sz w:val="24"/>
          <w:szCs w:val="24"/>
        </w:rPr>
        <w:t>that the law</w:t>
      </w:r>
      <w:r w:rsidR="00AA536D" w:rsidRPr="00C07835">
        <w:rPr>
          <w:rFonts w:ascii="Times New Roman" w:hAnsi="Times New Roman" w:cs="Times New Roman"/>
          <w:sz w:val="24"/>
          <w:szCs w:val="24"/>
        </w:rPr>
        <w:t xml:space="preserve">s and practices in the </w:t>
      </w:r>
      <w:r w:rsidRPr="00C07835">
        <w:rPr>
          <w:rFonts w:ascii="Times New Roman" w:hAnsi="Times New Roman" w:cs="Times New Roman"/>
          <w:sz w:val="24"/>
          <w:szCs w:val="24"/>
        </w:rPr>
        <w:t xml:space="preserve">third country impinge on the effectiveness of the GDPR Article 46 mechanism, then </w:t>
      </w:r>
      <w:r w:rsidR="003E7AFA" w:rsidRPr="00C07835">
        <w:rPr>
          <w:rFonts w:ascii="Times New Roman" w:hAnsi="Times New Roman" w:cs="Times New Roman"/>
          <w:sz w:val="24"/>
          <w:szCs w:val="24"/>
        </w:rPr>
        <w:t xml:space="preserve">the </w:t>
      </w:r>
      <w:r w:rsidR="00427B04" w:rsidRPr="00C07835">
        <w:rPr>
          <w:rFonts w:ascii="Times New Roman" w:hAnsi="Times New Roman" w:cs="Times New Roman"/>
          <w:sz w:val="24"/>
          <w:szCs w:val="24"/>
        </w:rPr>
        <w:t xml:space="preserve">HSE (i.e. ‘data exporter) must identify and adopt supplementary measures to bring the level of protection for the transferred personal data up to the EU level of protection. </w:t>
      </w:r>
    </w:p>
    <w:p w14:paraId="716126F7"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3720D621" w14:textId="77777777" w:rsidR="00427B04" w:rsidRPr="00C07835" w:rsidRDefault="00427B04"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When is a TIA Required</w:t>
      </w:r>
      <w:r w:rsidR="00C07835" w:rsidRPr="00C07835">
        <w:rPr>
          <w:rFonts w:ascii="Times New Roman" w:hAnsi="Times New Roman" w:cs="Times New Roman"/>
          <w:b/>
          <w:sz w:val="24"/>
          <w:szCs w:val="24"/>
        </w:rPr>
        <w:t>?</w:t>
      </w:r>
    </w:p>
    <w:p w14:paraId="01C38855"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4551DE46" w14:textId="77777777" w:rsidR="00C10D05" w:rsidRDefault="00427B04" w:rsidP="00410CFD">
      <w:pPr>
        <w:spacing w:after="60" w:line="240" w:lineRule="auto"/>
        <w:ind w:left="57" w:right="57"/>
        <w:jc w:val="both"/>
        <w:rPr>
          <w:rFonts w:ascii="Times New Roman" w:hAnsi="Times New Roman" w:cs="Times New Roman"/>
          <w:sz w:val="24"/>
          <w:szCs w:val="24"/>
        </w:rPr>
      </w:pPr>
      <w:r w:rsidRPr="00C07835">
        <w:rPr>
          <w:rFonts w:ascii="Times New Roman" w:hAnsi="Times New Roman" w:cs="Times New Roman"/>
          <w:sz w:val="24"/>
          <w:szCs w:val="24"/>
        </w:rPr>
        <w:t>A TIA is only required when transferring personal data to a t</w:t>
      </w:r>
      <w:r w:rsidR="00C10D05" w:rsidRPr="00C07835">
        <w:rPr>
          <w:rFonts w:ascii="Times New Roman" w:hAnsi="Times New Roman" w:cs="Times New Roman"/>
          <w:sz w:val="24"/>
          <w:szCs w:val="24"/>
        </w:rPr>
        <w:t xml:space="preserve">hird country outside the EEA </w:t>
      </w:r>
      <w:r w:rsidR="002C438A" w:rsidRPr="00C07835">
        <w:rPr>
          <w:rFonts w:ascii="Times New Roman" w:hAnsi="Times New Roman" w:cs="Times New Roman"/>
          <w:sz w:val="24"/>
          <w:szCs w:val="24"/>
        </w:rPr>
        <w:t xml:space="preserve">not covered by an </w:t>
      </w:r>
      <w:r w:rsidR="00A71691">
        <w:rPr>
          <w:rFonts w:ascii="Times New Roman" w:hAnsi="Times New Roman" w:cs="Times New Roman"/>
          <w:sz w:val="24"/>
          <w:szCs w:val="24"/>
        </w:rPr>
        <w:t>European Commission</w:t>
      </w:r>
      <w:r w:rsidR="002C438A" w:rsidRPr="00C07835">
        <w:rPr>
          <w:rFonts w:ascii="Times New Roman" w:hAnsi="Times New Roman" w:cs="Times New Roman"/>
          <w:sz w:val="24"/>
          <w:szCs w:val="24"/>
        </w:rPr>
        <w:t xml:space="preserve"> </w:t>
      </w:r>
      <w:r w:rsidR="00C10D05" w:rsidRPr="00C07835">
        <w:rPr>
          <w:rFonts w:ascii="Times New Roman" w:hAnsi="Times New Roman" w:cs="Times New Roman"/>
          <w:sz w:val="24"/>
          <w:szCs w:val="24"/>
        </w:rPr>
        <w:t>adequacy decision.</w:t>
      </w:r>
      <w:r w:rsidRPr="00C07835">
        <w:rPr>
          <w:rFonts w:ascii="Times New Roman" w:hAnsi="Times New Roman" w:cs="Times New Roman"/>
          <w:sz w:val="24"/>
          <w:szCs w:val="24"/>
        </w:rPr>
        <w:t xml:space="preserve"> </w:t>
      </w:r>
      <w:r w:rsidR="00410CFD" w:rsidRPr="00410CFD">
        <w:rPr>
          <w:rFonts w:ascii="Times New Roman" w:hAnsi="Times New Roman" w:cs="Times New Roman"/>
          <w:sz w:val="24"/>
          <w:szCs w:val="24"/>
        </w:rPr>
        <w:t>An adequacy decision is a decision adopted by the European</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Commission where it has decided that a third country, a territory, one or more specified sectors (e.g.</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public or private) within a third country or an international organisation including its subordinate</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bodies (such as the United Nations and the World Health Organisation) ensures an adequate level of</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protection of personal data.</w:t>
      </w:r>
      <w:r w:rsidR="00410CFD">
        <w:rPr>
          <w:rFonts w:ascii="Times New Roman" w:hAnsi="Times New Roman" w:cs="Times New Roman"/>
          <w:sz w:val="24"/>
          <w:szCs w:val="24"/>
        </w:rPr>
        <w:t xml:space="preserve"> Where adequacy decisions are</w:t>
      </w:r>
      <w:r w:rsidR="00410CFD" w:rsidRPr="00410CFD">
        <w:rPr>
          <w:rFonts w:ascii="Times New Roman" w:hAnsi="Times New Roman" w:cs="Times New Roman"/>
          <w:sz w:val="24"/>
          <w:szCs w:val="24"/>
        </w:rPr>
        <w:t xml:space="preserve"> relied upon, no other GDPR transfer</w:t>
      </w:r>
      <w:r w:rsidR="00410CFD">
        <w:rPr>
          <w:rFonts w:ascii="Times New Roman" w:hAnsi="Times New Roman" w:cs="Times New Roman"/>
          <w:sz w:val="24"/>
          <w:szCs w:val="24"/>
        </w:rPr>
        <w:t xml:space="preserve"> </w:t>
      </w:r>
      <w:r w:rsidR="00410CFD" w:rsidRPr="00410CFD">
        <w:rPr>
          <w:rFonts w:ascii="Times New Roman" w:hAnsi="Times New Roman" w:cs="Times New Roman"/>
          <w:sz w:val="24"/>
          <w:szCs w:val="24"/>
        </w:rPr>
        <w:t>mechanism, such as appropriate safeguards under Article 46 noted above or</w:t>
      </w:r>
      <w:r w:rsidR="00410CFD">
        <w:rPr>
          <w:rFonts w:ascii="Times New Roman" w:hAnsi="Times New Roman" w:cs="Times New Roman"/>
          <w:sz w:val="24"/>
          <w:szCs w:val="24"/>
        </w:rPr>
        <w:t xml:space="preserve"> a</w:t>
      </w:r>
      <w:r w:rsidR="00410CFD" w:rsidRPr="00410CFD">
        <w:rPr>
          <w:rFonts w:ascii="Times New Roman" w:hAnsi="Times New Roman" w:cs="Times New Roman"/>
          <w:sz w:val="24"/>
          <w:szCs w:val="24"/>
        </w:rPr>
        <w:t xml:space="preserve"> TIA, are required.</w:t>
      </w:r>
    </w:p>
    <w:p w14:paraId="70C90283" w14:textId="77777777" w:rsidR="00C07835" w:rsidRPr="00C07835" w:rsidRDefault="00C07835" w:rsidP="00C07835">
      <w:pPr>
        <w:spacing w:after="60" w:line="240" w:lineRule="auto"/>
        <w:ind w:left="57" w:right="57"/>
        <w:rPr>
          <w:rFonts w:ascii="Times New Roman" w:hAnsi="Times New Roman" w:cs="Times New Roman"/>
          <w:b/>
          <w:sz w:val="24"/>
          <w:szCs w:val="24"/>
        </w:rPr>
      </w:pPr>
    </w:p>
    <w:p w14:paraId="6A725FB0" w14:textId="77777777" w:rsidR="00427B04" w:rsidRPr="00C07835" w:rsidRDefault="00427B04" w:rsidP="00C07835">
      <w:pPr>
        <w:spacing w:after="60" w:line="240" w:lineRule="auto"/>
        <w:ind w:left="57" w:right="57"/>
        <w:rPr>
          <w:rFonts w:ascii="Times New Roman" w:hAnsi="Times New Roman" w:cs="Times New Roman"/>
          <w:b/>
          <w:sz w:val="24"/>
          <w:szCs w:val="24"/>
        </w:rPr>
      </w:pPr>
      <w:r w:rsidRPr="00C07835">
        <w:rPr>
          <w:rFonts w:ascii="Times New Roman" w:hAnsi="Times New Roman" w:cs="Times New Roman"/>
          <w:b/>
          <w:sz w:val="24"/>
          <w:szCs w:val="24"/>
        </w:rPr>
        <w:t>Who in the HSE is responsible for undertaking the TIA</w:t>
      </w:r>
      <w:r w:rsidR="00C07835">
        <w:rPr>
          <w:rFonts w:ascii="Times New Roman" w:hAnsi="Times New Roman" w:cs="Times New Roman"/>
          <w:b/>
          <w:sz w:val="24"/>
          <w:szCs w:val="24"/>
        </w:rPr>
        <w:t>?</w:t>
      </w:r>
    </w:p>
    <w:p w14:paraId="40CDC5C5" w14:textId="77777777" w:rsidR="00C07835" w:rsidRPr="00C07835" w:rsidRDefault="00C07835" w:rsidP="00C07835">
      <w:pPr>
        <w:spacing w:after="60" w:line="240" w:lineRule="auto"/>
        <w:ind w:left="57" w:right="57"/>
        <w:rPr>
          <w:rFonts w:ascii="Times New Roman" w:hAnsi="Times New Roman" w:cs="Times New Roman"/>
          <w:sz w:val="24"/>
          <w:szCs w:val="24"/>
        </w:rPr>
      </w:pPr>
    </w:p>
    <w:p w14:paraId="3128E072" w14:textId="77777777" w:rsidR="00427B04" w:rsidRPr="00C07835" w:rsidRDefault="00427B04" w:rsidP="00C07835">
      <w:pPr>
        <w:spacing w:after="60" w:line="240" w:lineRule="auto"/>
        <w:ind w:left="57" w:right="57"/>
        <w:rPr>
          <w:rFonts w:ascii="Times New Roman" w:hAnsi="Times New Roman" w:cs="Times New Roman"/>
          <w:sz w:val="24"/>
          <w:szCs w:val="24"/>
        </w:rPr>
      </w:pPr>
      <w:r w:rsidRPr="00C07835">
        <w:rPr>
          <w:rFonts w:ascii="Times New Roman" w:hAnsi="Times New Roman" w:cs="Times New Roman"/>
          <w:sz w:val="24"/>
          <w:szCs w:val="24"/>
        </w:rPr>
        <w:t>The TIA must be undertaken by HSE business unit</w:t>
      </w:r>
      <w:r w:rsidR="003E7AFA" w:rsidRPr="00C07835">
        <w:rPr>
          <w:rFonts w:ascii="Times New Roman" w:hAnsi="Times New Roman" w:cs="Times New Roman"/>
          <w:sz w:val="24"/>
          <w:szCs w:val="24"/>
        </w:rPr>
        <w:t>s</w:t>
      </w:r>
      <w:r w:rsidRPr="00C07835">
        <w:rPr>
          <w:rFonts w:ascii="Times New Roman" w:hAnsi="Times New Roman" w:cs="Times New Roman"/>
          <w:sz w:val="24"/>
          <w:szCs w:val="24"/>
        </w:rPr>
        <w:t xml:space="preserve"> who are </w:t>
      </w:r>
      <w:r w:rsidR="003E7AFA" w:rsidRPr="00C07835">
        <w:rPr>
          <w:rFonts w:ascii="Times New Roman" w:hAnsi="Times New Roman" w:cs="Times New Roman"/>
          <w:sz w:val="24"/>
          <w:szCs w:val="24"/>
        </w:rPr>
        <w:t>intending</w:t>
      </w:r>
      <w:r w:rsidR="00410CFD">
        <w:rPr>
          <w:rFonts w:ascii="Times New Roman" w:hAnsi="Times New Roman" w:cs="Times New Roman"/>
          <w:sz w:val="24"/>
          <w:szCs w:val="24"/>
        </w:rPr>
        <w:t xml:space="preserve"> to transfer</w:t>
      </w:r>
      <w:r w:rsidRPr="00C07835">
        <w:rPr>
          <w:rFonts w:ascii="Times New Roman" w:hAnsi="Times New Roman" w:cs="Times New Roman"/>
          <w:sz w:val="24"/>
          <w:szCs w:val="24"/>
        </w:rPr>
        <w:t xml:space="preserve"> personal data to countries outside the EEA not covered by an EU adequacy decision. </w:t>
      </w:r>
      <w:r w:rsidR="003E7AFA" w:rsidRPr="00C07835">
        <w:rPr>
          <w:rFonts w:ascii="Times New Roman" w:hAnsi="Times New Roman" w:cs="Times New Roman"/>
          <w:sz w:val="24"/>
          <w:szCs w:val="24"/>
        </w:rPr>
        <w:t xml:space="preserve">Whilst undertaking the TIA, the </w:t>
      </w:r>
      <w:r w:rsidRPr="00C07835">
        <w:rPr>
          <w:rFonts w:ascii="Times New Roman" w:hAnsi="Times New Roman" w:cs="Times New Roman"/>
          <w:sz w:val="24"/>
          <w:szCs w:val="24"/>
        </w:rPr>
        <w:t>HSE business unit will need the assistance of the organisation (</w:t>
      </w:r>
      <w:r w:rsidR="003E7AFA" w:rsidRPr="00C07835">
        <w:rPr>
          <w:rFonts w:ascii="Times New Roman" w:hAnsi="Times New Roman" w:cs="Times New Roman"/>
          <w:sz w:val="24"/>
          <w:szCs w:val="24"/>
        </w:rPr>
        <w:t>i.e.</w:t>
      </w:r>
      <w:r w:rsidRPr="00C07835">
        <w:rPr>
          <w:rFonts w:ascii="Times New Roman" w:hAnsi="Times New Roman" w:cs="Times New Roman"/>
          <w:sz w:val="24"/>
          <w:szCs w:val="24"/>
        </w:rPr>
        <w:t xml:space="preserve">‘data importer’) </w:t>
      </w:r>
      <w:r w:rsidR="003E7AFA" w:rsidRPr="00C07835">
        <w:rPr>
          <w:rFonts w:ascii="Times New Roman" w:hAnsi="Times New Roman" w:cs="Times New Roman"/>
          <w:sz w:val="24"/>
          <w:szCs w:val="24"/>
        </w:rPr>
        <w:t xml:space="preserve">in </w:t>
      </w:r>
      <w:r w:rsidRPr="00C07835">
        <w:rPr>
          <w:rFonts w:ascii="Times New Roman" w:hAnsi="Times New Roman" w:cs="Times New Roman"/>
          <w:sz w:val="24"/>
          <w:szCs w:val="24"/>
        </w:rPr>
        <w:t>the cou</w:t>
      </w:r>
      <w:r w:rsidR="003E7AFA" w:rsidRPr="00C07835">
        <w:rPr>
          <w:rFonts w:ascii="Times New Roman" w:hAnsi="Times New Roman" w:cs="Times New Roman"/>
          <w:sz w:val="24"/>
          <w:szCs w:val="24"/>
        </w:rPr>
        <w:t xml:space="preserve">ntry outside the EEA where the </w:t>
      </w:r>
      <w:r w:rsidR="003E7AFA" w:rsidRPr="00A71691">
        <w:rPr>
          <w:rFonts w:ascii="Times New Roman" w:hAnsi="Times New Roman" w:cs="Times New Roman"/>
          <w:sz w:val="24"/>
          <w:szCs w:val="24"/>
        </w:rPr>
        <w:t>personal data is being transferred to.</w:t>
      </w:r>
      <w:r w:rsidRPr="00A71691">
        <w:rPr>
          <w:rFonts w:ascii="Times New Roman" w:hAnsi="Times New Roman" w:cs="Times New Roman"/>
          <w:sz w:val="24"/>
          <w:szCs w:val="24"/>
        </w:rPr>
        <w:t xml:space="preserve"> </w:t>
      </w:r>
      <w:r w:rsidR="003C1F04" w:rsidRPr="00A71691">
        <w:rPr>
          <w:rFonts w:ascii="Times New Roman" w:hAnsi="Times New Roman" w:cs="Times New Roman"/>
          <w:sz w:val="24"/>
          <w:szCs w:val="24"/>
        </w:rPr>
        <w:t>Local law advice may be required. The TIA must be made available to a supervisory authority, such as the Data Protection Commission, upon request.</w:t>
      </w:r>
      <w:r w:rsidR="003C1F04" w:rsidRPr="00A71691">
        <w:rPr>
          <w:rFonts w:eastAsia="Times New Roman" w:cs="Calibri"/>
          <w:sz w:val="20"/>
          <w:szCs w:val="20"/>
          <w:lang w:val="en-GB"/>
        </w:rPr>
        <w:t xml:space="preserve"> </w:t>
      </w:r>
      <w:r w:rsidR="003C1F04" w:rsidRPr="00A71691">
        <w:rPr>
          <w:rFonts w:ascii="Times New Roman" w:hAnsi="Times New Roman" w:cs="Times New Roman"/>
          <w:sz w:val="24"/>
          <w:szCs w:val="24"/>
        </w:rPr>
        <w:t xml:space="preserve">It is recommended that specialist legal advice is sought where the relevant HSE business unit has any </w:t>
      </w:r>
      <w:r w:rsidR="00417570" w:rsidRPr="00A71691">
        <w:rPr>
          <w:rFonts w:ascii="Times New Roman" w:hAnsi="Times New Roman" w:cs="Times New Roman"/>
          <w:sz w:val="24"/>
          <w:szCs w:val="24"/>
        </w:rPr>
        <w:t xml:space="preserve">legal difficulties or queries </w:t>
      </w:r>
      <w:r w:rsidR="003C1F04" w:rsidRPr="00A71691">
        <w:rPr>
          <w:rFonts w:ascii="Times New Roman" w:hAnsi="Times New Roman" w:cs="Times New Roman"/>
          <w:sz w:val="24"/>
          <w:szCs w:val="24"/>
        </w:rPr>
        <w:t>in relation to the interpretation, application or construction of any of the data transfer mechanisms or risk management measures arising from data protection legislati</w:t>
      </w:r>
      <w:r w:rsidR="00417570" w:rsidRPr="00A71691">
        <w:rPr>
          <w:rFonts w:ascii="Times New Roman" w:hAnsi="Times New Roman" w:cs="Times New Roman"/>
          <w:sz w:val="24"/>
          <w:szCs w:val="24"/>
        </w:rPr>
        <w:t>on set out in the TIA (contact should be made with the HSE office of legal services to acquire any appropriate legal advice).</w:t>
      </w:r>
    </w:p>
    <w:p w14:paraId="08375301" w14:textId="77777777" w:rsidR="00AA536D" w:rsidRDefault="00AA536D" w:rsidP="003E7AFA">
      <w:pPr>
        <w:spacing w:after="375" w:line="240" w:lineRule="auto"/>
        <w:rPr>
          <w:rFonts w:ascii="Times New Roman" w:eastAsia="Times New Roman" w:hAnsi="Times New Roman" w:cs="Times New Roman"/>
          <w:b/>
          <w:color w:val="000000" w:themeColor="text1"/>
          <w:sz w:val="28"/>
          <w:szCs w:val="28"/>
          <w:lang w:eastAsia="en-IE"/>
        </w:rPr>
      </w:pPr>
    </w:p>
    <w:p w14:paraId="4D77FBD1" w14:textId="77777777" w:rsidR="003C1F04" w:rsidRDefault="003C1F04" w:rsidP="003E7AFA">
      <w:pPr>
        <w:spacing w:after="375" w:line="240" w:lineRule="auto"/>
        <w:rPr>
          <w:rFonts w:ascii="Times New Roman" w:eastAsia="Times New Roman" w:hAnsi="Times New Roman" w:cs="Times New Roman"/>
          <w:b/>
          <w:color w:val="000000" w:themeColor="text1"/>
          <w:sz w:val="28"/>
          <w:szCs w:val="28"/>
          <w:lang w:eastAsia="en-IE"/>
        </w:rPr>
      </w:pPr>
    </w:p>
    <w:p w14:paraId="0F047272" w14:textId="77777777" w:rsidR="003C1F04" w:rsidRPr="00533B19" w:rsidRDefault="003C1F04" w:rsidP="003E7AFA">
      <w:pPr>
        <w:spacing w:after="375" w:line="240" w:lineRule="auto"/>
        <w:rPr>
          <w:rFonts w:ascii="Times New Roman" w:eastAsia="Times New Roman" w:hAnsi="Times New Roman" w:cs="Times New Roman"/>
          <w:b/>
          <w:color w:val="000000" w:themeColor="text1"/>
          <w:sz w:val="28"/>
          <w:szCs w:val="28"/>
          <w:lang w:eastAsia="en-IE"/>
        </w:rPr>
      </w:pPr>
    </w:p>
    <w:tbl>
      <w:tblPr>
        <w:tblStyle w:val="TableGrid"/>
        <w:tblW w:w="0" w:type="auto"/>
        <w:tblLook w:val="04A0" w:firstRow="1" w:lastRow="0" w:firstColumn="1" w:lastColumn="0" w:noHBand="0" w:noVBand="1"/>
      </w:tblPr>
      <w:tblGrid>
        <w:gridCol w:w="846"/>
        <w:gridCol w:w="4678"/>
        <w:gridCol w:w="5238"/>
      </w:tblGrid>
      <w:tr w:rsidR="006B19BC" w14:paraId="4A7E99E5" w14:textId="77777777" w:rsidTr="006B19BC">
        <w:tc>
          <w:tcPr>
            <w:tcW w:w="10762" w:type="dxa"/>
            <w:gridSpan w:val="3"/>
            <w:shd w:val="clear" w:color="auto" w:fill="D9E2F3" w:themeFill="accent5" w:themeFillTint="33"/>
          </w:tcPr>
          <w:p w14:paraId="38A73A02" w14:textId="77777777" w:rsidR="006B19BC" w:rsidRDefault="006B19BC" w:rsidP="006B19BC">
            <w:pPr>
              <w:rPr>
                <w:rFonts w:ascii="Times New Roman" w:hAnsi="Times New Roman" w:cs="Times New Roman"/>
                <w:b/>
                <w:sz w:val="12"/>
                <w:szCs w:val="12"/>
              </w:rPr>
            </w:pPr>
          </w:p>
          <w:p w14:paraId="02693A38" w14:textId="77777777" w:rsidR="006B19BC" w:rsidRPr="00E20FCC" w:rsidRDefault="00E20FCC" w:rsidP="00E20FCC">
            <w:pPr>
              <w:rPr>
                <w:rFonts w:ascii="Times New Roman" w:hAnsi="Times New Roman" w:cs="Times New Roman"/>
                <w:b/>
                <w:sz w:val="24"/>
                <w:szCs w:val="24"/>
              </w:rPr>
            </w:pPr>
            <w:r>
              <w:rPr>
                <w:rFonts w:ascii="Times New Roman" w:hAnsi="Times New Roman" w:cs="Times New Roman"/>
                <w:b/>
                <w:sz w:val="24"/>
                <w:szCs w:val="24"/>
              </w:rPr>
              <w:t xml:space="preserve">Section A. </w:t>
            </w:r>
            <w:r w:rsidR="006B19BC" w:rsidRPr="00E20FCC">
              <w:rPr>
                <w:rFonts w:ascii="Times New Roman" w:hAnsi="Times New Roman" w:cs="Times New Roman"/>
                <w:b/>
                <w:sz w:val="24"/>
                <w:szCs w:val="24"/>
              </w:rPr>
              <w:t>Overview of Data Transfer</w:t>
            </w:r>
          </w:p>
          <w:p w14:paraId="19EB2181" w14:textId="77777777" w:rsidR="006B19BC" w:rsidRDefault="006B19BC" w:rsidP="006231C2">
            <w:pPr>
              <w:rPr>
                <w:rFonts w:ascii="Times New Roman" w:hAnsi="Times New Roman" w:cs="Times New Roman"/>
                <w:b/>
                <w:sz w:val="12"/>
                <w:szCs w:val="12"/>
              </w:rPr>
            </w:pPr>
          </w:p>
          <w:p w14:paraId="6C711D51" w14:textId="77777777" w:rsidR="006B19BC" w:rsidRPr="008125B3" w:rsidRDefault="006B19BC" w:rsidP="006231C2">
            <w:pPr>
              <w:rPr>
                <w:rFonts w:ascii="Times New Roman" w:hAnsi="Times New Roman" w:cs="Times New Roman"/>
                <w:b/>
                <w:sz w:val="12"/>
                <w:szCs w:val="12"/>
              </w:rPr>
            </w:pPr>
          </w:p>
        </w:tc>
      </w:tr>
      <w:tr w:rsidR="006231C2" w14:paraId="703C5055" w14:textId="77777777" w:rsidTr="000E5414">
        <w:tc>
          <w:tcPr>
            <w:tcW w:w="846" w:type="dxa"/>
            <w:shd w:val="clear" w:color="auto" w:fill="C5E0B3" w:themeFill="accent6" w:themeFillTint="66"/>
          </w:tcPr>
          <w:p w14:paraId="75E2CE90" w14:textId="77777777" w:rsidR="006231C2" w:rsidRPr="008125B3" w:rsidRDefault="006231C2" w:rsidP="003C7917">
            <w:pPr>
              <w:rPr>
                <w:rFonts w:ascii="Times New Roman" w:hAnsi="Times New Roman" w:cs="Times New Roman"/>
                <w:sz w:val="12"/>
                <w:szCs w:val="12"/>
              </w:rPr>
            </w:pPr>
          </w:p>
          <w:p w14:paraId="191B6B7E" w14:textId="77777777" w:rsidR="006231C2" w:rsidRPr="00003942" w:rsidRDefault="006231C2" w:rsidP="003C7917">
            <w:pPr>
              <w:rPr>
                <w:rFonts w:ascii="Times New Roman" w:hAnsi="Times New Roman" w:cs="Times New Roman"/>
                <w:b/>
                <w:sz w:val="24"/>
                <w:szCs w:val="24"/>
              </w:rPr>
            </w:pPr>
            <w:r w:rsidRPr="00003942">
              <w:rPr>
                <w:rFonts w:ascii="Times New Roman" w:hAnsi="Times New Roman" w:cs="Times New Roman"/>
                <w:b/>
                <w:sz w:val="24"/>
                <w:szCs w:val="24"/>
              </w:rPr>
              <w:t>1.</w:t>
            </w:r>
          </w:p>
        </w:tc>
        <w:tc>
          <w:tcPr>
            <w:tcW w:w="9916" w:type="dxa"/>
            <w:gridSpan w:val="2"/>
            <w:shd w:val="clear" w:color="auto" w:fill="C5E0B3" w:themeFill="accent6" w:themeFillTint="66"/>
          </w:tcPr>
          <w:p w14:paraId="4BF779F1" w14:textId="77777777" w:rsidR="006231C2" w:rsidRPr="008125B3" w:rsidRDefault="006231C2" w:rsidP="006231C2">
            <w:pPr>
              <w:rPr>
                <w:rFonts w:ascii="Times New Roman" w:hAnsi="Times New Roman" w:cs="Times New Roman"/>
                <w:b/>
                <w:sz w:val="12"/>
                <w:szCs w:val="12"/>
              </w:rPr>
            </w:pPr>
          </w:p>
          <w:p w14:paraId="700E0317" w14:textId="77777777" w:rsidR="006231C2" w:rsidRPr="000E5414" w:rsidRDefault="00CD4F5C" w:rsidP="006231C2">
            <w:pPr>
              <w:rPr>
                <w:rFonts w:ascii="Times New Roman" w:hAnsi="Times New Roman" w:cs="Times New Roman"/>
                <w:b/>
                <w:color w:val="C5E0B3" w:themeColor="accent6" w:themeTint="66"/>
                <w:sz w:val="24"/>
                <w:szCs w:val="24"/>
              </w:rPr>
            </w:pPr>
            <w:r>
              <w:rPr>
                <w:rFonts w:ascii="Times New Roman" w:hAnsi="Times New Roman" w:cs="Times New Roman"/>
                <w:b/>
                <w:sz w:val="24"/>
                <w:szCs w:val="24"/>
              </w:rPr>
              <w:t>Parties to the Data Transfer &amp; TIA</w:t>
            </w:r>
          </w:p>
          <w:p w14:paraId="649982D0" w14:textId="77777777" w:rsidR="006231C2" w:rsidRPr="008125B3" w:rsidRDefault="006231C2" w:rsidP="006231C2">
            <w:pPr>
              <w:jc w:val="center"/>
              <w:rPr>
                <w:rFonts w:ascii="Times New Roman" w:hAnsi="Times New Roman" w:cs="Times New Roman"/>
                <w:b/>
                <w:sz w:val="12"/>
                <w:szCs w:val="12"/>
              </w:rPr>
            </w:pPr>
          </w:p>
        </w:tc>
      </w:tr>
      <w:tr w:rsidR="003C7917" w14:paraId="420D8C36" w14:textId="77777777" w:rsidTr="003C7917">
        <w:tc>
          <w:tcPr>
            <w:tcW w:w="846" w:type="dxa"/>
          </w:tcPr>
          <w:p w14:paraId="54E2C6DC"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1.1</w:t>
            </w:r>
          </w:p>
        </w:tc>
        <w:tc>
          <w:tcPr>
            <w:tcW w:w="4678" w:type="dxa"/>
          </w:tcPr>
          <w:p w14:paraId="1AF3DB0A" w14:textId="77777777" w:rsidR="003C7917" w:rsidRPr="008125B3" w:rsidRDefault="003C7917" w:rsidP="003C7917">
            <w:pPr>
              <w:spacing w:after="60"/>
              <w:ind w:left="57" w:right="57"/>
              <w:rPr>
                <w:rFonts w:ascii="Times New Roman" w:hAnsi="Times New Roman" w:cs="Times New Roman"/>
                <w:sz w:val="24"/>
                <w:szCs w:val="24"/>
              </w:rPr>
            </w:pPr>
            <w:r w:rsidRPr="008125B3">
              <w:rPr>
                <w:rFonts w:ascii="Times New Roman" w:hAnsi="Times New Roman" w:cs="Times New Roman"/>
                <w:sz w:val="24"/>
                <w:szCs w:val="24"/>
              </w:rPr>
              <w:t>Data</w:t>
            </w:r>
            <w:r w:rsidR="002E33DF">
              <w:rPr>
                <w:rFonts w:ascii="Times New Roman" w:hAnsi="Times New Roman" w:cs="Times New Roman"/>
                <w:sz w:val="24"/>
                <w:szCs w:val="24"/>
              </w:rPr>
              <w:t xml:space="preserve"> E</w:t>
            </w:r>
            <w:r w:rsidRPr="008125B3">
              <w:rPr>
                <w:rFonts w:ascii="Times New Roman" w:hAnsi="Times New Roman" w:cs="Times New Roman"/>
                <w:sz w:val="24"/>
                <w:szCs w:val="24"/>
              </w:rPr>
              <w:t>xporter</w:t>
            </w:r>
          </w:p>
        </w:tc>
        <w:tc>
          <w:tcPr>
            <w:tcW w:w="5238" w:type="dxa"/>
          </w:tcPr>
          <w:p w14:paraId="1826BE71" w14:textId="77777777" w:rsidR="003C7917" w:rsidRPr="008125B3" w:rsidRDefault="003C7917" w:rsidP="003C7917">
            <w:pPr>
              <w:pStyle w:val="Level1"/>
              <w:numPr>
                <w:ilvl w:val="0"/>
                <w:numId w:val="0"/>
              </w:numPr>
              <w:spacing w:after="60" w:line="240" w:lineRule="auto"/>
              <w:ind w:left="57" w:right="74"/>
              <w:jc w:val="left"/>
              <w:rPr>
                <w:rFonts w:ascii="Times New Roman" w:hAnsi="Times New Roman" w:cs="Times New Roman"/>
                <w:i/>
                <w:sz w:val="24"/>
                <w:szCs w:val="24"/>
              </w:rPr>
            </w:pPr>
            <w:r w:rsidRPr="008125B3">
              <w:rPr>
                <w:rFonts w:ascii="Times New Roman" w:hAnsi="Times New Roman" w:cs="Times New Roman"/>
                <w:i/>
                <w:sz w:val="24"/>
                <w:szCs w:val="24"/>
              </w:rPr>
              <w:t>[Health Service Executive (“</w:t>
            </w:r>
            <w:r w:rsidRPr="008125B3">
              <w:rPr>
                <w:rFonts w:ascii="Times New Roman" w:hAnsi="Times New Roman" w:cs="Times New Roman"/>
                <w:b/>
                <w:i/>
                <w:sz w:val="24"/>
                <w:szCs w:val="24"/>
              </w:rPr>
              <w:t>HSE</w:t>
            </w:r>
            <w:r w:rsidRPr="008125B3">
              <w:rPr>
                <w:rFonts w:ascii="Times New Roman" w:hAnsi="Times New Roman" w:cs="Times New Roman"/>
                <w:i/>
                <w:sz w:val="24"/>
                <w:szCs w:val="24"/>
              </w:rPr>
              <w:t>”)]</w:t>
            </w:r>
          </w:p>
          <w:p w14:paraId="2164A42F" w14:textId="77777777" w:rsidR="003C7917" w:rsidRPr="008125B3" w:rsidRDefault="003C7917" w:rsidP="003C7917">
            <w:pPr>
              <w:pStyle w:val="Level1"/>
              <w:numPr>
                <w:ilvl w:val="0"/>
                <w:numId w:val="0"/>
              </w:numPr>
              <w:spacing w:after="60" w:line="240" w:lineRule="auto"/>
              <w:ind w:left="57" w:right="74"/>
              <w:jc w:val="left"/>
              <w:rPr>
                <w:rFonts w:ascii="Times New Roman" w:hAnsi="Times New Roman" w:cs="Times New Roman"/>
                <w:i/>
                <w:sz w:val="24"/>
                <w:szCs w:val="24"/>
              </w:rPr>
            </w:pPr>
          </w:p>
          <w:p w14:paraId="2CFB5C38" w14:textId="77777777" w:rsidR="00B63701" w:rsidRPr="008125B3" w:rsidRDefault="00B63701" w:rsidP="00332730">
            <w:pPr>
              <w:pStyle w:val="Level1"/>
              <w:numPr>
                <w:ilvl w:val="0"/>
                <w:numId w:val="0"/>
              </w:numPr>
              <w:spacing w:after="60" w:line="240" w:lineRule="auto"/>
              <w:ind w:right="74"/>
              <w:jc w:val="left"/>
              <w:rPr>
                <w:rFonts w:ascii="Times New Roman" w:hAnsi="Times New Roman" w:cs="Times New Roman"/>
                <w:i/>
                <w:sz w:val="24"/>
                <w:szCs w:val="24"/>
              </w:rPr>
            </w:pPr>
          </w:p>
        </w:tc>
      </w:tr>
      <w:tr w:rsidR="003C7917" w14:paraId="26F738A2" w14:textId="77777777" w:rsidTr="003C7917">
        <w:tc>
          <w:tcPr>
            <w:tcW w:w="846" w:type="dxa"/>
          </w:tcPr>
          <w:p w14:paraId="1CC8D27B"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1.2</w:t>
            </w:r>
          </w:p>
        </w:tc>
        <w:tc>
          <w:tcPr>
            <w:tcW w:w="4678" w:type="dxa"/>
          </w:tcPr>
          <w:p w14:paraId="5F3F6A82"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Status of the D</w:t>
            </w:r>
            <w:r w:rsidR="002E33DF">
              <w:rPr>
                <w:rFonts w:ascii="Times New Roman" w:hAnsi="Times New Roman" w:cs="Times New Roman"/>
                <w:sz w:val="24"/>
                <w:szCs w:val="24"/>
              </w:rPr>
              <w:t>ata E</w:t>
            </w:r>
            <w:r w:rsidR="003C7917" w:rsidRPr="008125B3">
              <w:rPr>
                <w:rFonts w:ascii="Times New Roman" w:hAnsi="Times New Roman" w:cs="Times New Roman"/>
                <w:sz w:val="24"/>
                <w:szCs w:val="24"/>
              </w:rPr>
              <w:t xml:space="preserve">xporter in relation to the </w:t>
            </w:r>
            <w:r>
              <w:rPr>
                <w:rFonts w:ascii="Times New Roman" w:hAnsi="Times New Roman" w:cs="Times New Roman"/>
                <w:sz w:val="24"/>
                <w:szCs w:val="24"/>
              </w:rPr>
              <w:t xml:space="preserve">data </w:t>
            </w:r>
            <w:r w:rsidR="003C7917" w:rsidRPr="008125B3">
              <w:rPr>
                <w:rFonts w:ascii="Times New Roman" w:hAnsi="Times New Roman" w:cs="Times New Roman"/>
                <w:sz w:val="24"/>
                <w:szCs w:val="24"/>
              </w:rPr>
              <w:t>transfer</w:t>
            </w:r>
          </w:p>
        </w:tc>
        <w:tc>
          <w:tcPr>
            <w:tcW w:w="5238" w:type="dxa"/>
          </w:tcPr>
          <w:p w14:paraId="1EE5F56A"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Controller</w:t>
            </w:r>
          </w:p>
          <w:p w14:paraId="7704A478"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Joint Controller</w:t>
            </w:r>
          </w:p>
          <w:p w14:paraId="08267BF2"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Processor</w:t>
            </w:r>
          </w:p>
          <w:p w14:paraId="476D9934" w14:textId="77777777" w:rsidR="000E5414" w:rsidRDefault="0065044C"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3C7917" w:rsidRPr="008125B3">
              <w:rPr>
                <w:rFonts w:ascii="Times New Roman" w:hAnsi="Times New Roman" w:cs="Times New Roman"/>
                <w:sz w:val="24"/>
                <w:szCs w:val="24"/>
              </w:rPr>
              <w:t>Sub-processor</w:t>
            </w:r>
          </w:p>
          <w:p w14:paraId="529B32C3" w14:textId="77777777" w:rsidR="00B63701" w:rsidRPr="00CD4F5C" w:rsidRDefault="00B63701" w:rsidP="00CD4F5C">
            <w:pPr>
              <w:spacing w:after="60"/>
              <w:ind w:left="455" w:hanging="455"/>
              <w:rPr>
                <w:rFonts w:ascii="Times New Roman" w:hAnsi="Times New Roman" w:cs="Times New Roman"/>
                <w:sz w:val="24"/>
                <w:szCs w:val="24"/>
              </w:rPr>
            </w:pPr>
          </w:p>
        </w:tc>
      </w:tr>
      <w:tr w:rsidR="003C7917" w14:paraId="16971D1A" w14:textId="77777777" w:rsidTr="003C7917">
        <w:tc>
          <w:tcPr>
            <w:tcW w:w="846" w:type="dxa"/>
          </w:tcPr>
          <w:p w14:paraId="754477DD" w14:textId="77777777" w:rsidR="003C7917" w:rsidRPr="008125B3" w:rsidRDefault="003C7917" w:rsidP="003C7917">
            <w:pPr>
              <w:rPr>
                <w:rFonts w:ascii="Times New Roman" w:hAnsi="Times New Roman" w:cs="Times New Roman"/>
                <w:sz w:val="24"/>
                <w:szCs w:val="24"/>
              </w:rPr>
            </w:pPr>
            <w:r w:rsidRPr="008125B3">
              <w:rPr>
                <w:rFonts w:ascii="Times New Roman" w:hAnsi="Times New Roman" w:cs="Times New Roman"/>
                <w:sz w:val="24"/>
                <w:szCs w:val="24"/>
              </w:rPr>
              <w:t>1.3</w:t>
            </w:r>
          </w:p>
        </w:tc>
        <w:tc>
          <w:tcPr>
            <w:tcW w:w="4678" w:type="dxa"/>
          </w:tcPr>
          <w:p w14:paraId="5EB75165" w14:textId="77777777" w:rsidR="003C7917" w:rsidRPr="008125B3" w:rsidRDefault="002E33DF" w:rsidP="003C7917">
            <w:pPr>
              <w:spacing w:after="60"/>
              <w:ind w:left="57" w:right="57"/>
              <w:rPr>
                <w:rFonts w:ascii="Times New Roman" w:hAnsi="Times New Roman" w:cs="Times New Roman"/>
                <w:sz w:val="24"/>
                <w:szCs w:val="24"/>
              </w:rPr>
            </w:pPr>
            <w:r>
              <w:rPr>
                <w:rFonts w:ascii="Times New Roman" w:hAnsi="Times New Roman" w:cs="Times New Roman"/>
                <w:sz w:val="24"/>
                <w:szCs w:val="24"/>
              </w:rPr>
              <w:t>Data I</w:t>
            </w:r>
            <w:r w:rsidR="003C7917" w:rsidRPr="008125B3">
              <w:rPr>
                <w:rFonts w:ascii="Times New Roman" w:hAnsi="Times New Roman" w:cs="Times New Roman"/>
                <w:sz w:val="24"/>
                <w:szCs w:val="24"/>
              </w:rPr>
              <w:t>mporter</w:t>
            </w:r>
          </w:p>
        </w:tc>
        <w:tc>
          <w:tcPr>
            <w:tcW w:w="5238" w:type="dxa"/>
          </w:tcPr>
          <w:p w14:paraId="39BA7020" w14:textId="77777777" w:rsidR="003C7917" w:rsidRPr="008125B3" w:rsidRDefault="003C7917" w:rsidP="003C7917">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406C4CB3" w14:textId="77777777" w:rsidR="003C7917" w:rsidRDefault="003C7917" w:rsidP="00B63701">
            <w:pPr>
              <w:pStyle w:val="Level1"/>
              <w:numPr>
                <w:ilvl w:val="0"/>
                <w:numId w:val="0"/>
              </w:numPr>
              <w:spacing w:after="60" w:line="240" w:lineRule="auto"/>
              <w:ind w:right="74"/>
              <w:jc w:val="left"/>
              <w:rPr>
                <w:rFonts w:ascii="Times New Roman" w:hAnsi="Times New Roman" w:cs="Times New Roman"/>
                <w:i/>
                <w:sz w:val="24"/>
                <w:szCs w:val="24"/>
              </w:rPr>
            </w:pPr>
          </w:p>
          <w:p w14:paraId="15C73709" w14:textId="77777777" w:rsidR="00B63701" w:rsidRPr="008125B3" w:rsidRDefault="00B63701" w:rsidP="00B63701">
            <w:pPr>
              <w:pStyle w:val="Level1"/>
              <w:numPr>
                <w:ilvl w:val="0"/>
                <w:numId w:val="0"/>
              </w:numPr>
              <w:spacing w:after="60" w:line="240" w:lineRule="auto"/>
              <w:ind w:right="74"/>
              <w:jc w:val="left"/>
              <w:rPr>
                <w:rFonts w:ascii="Times New Roman" w:hAnsi="Times New Roman" w:cs="Times New Roman"/>
                <w:i/>
                <w:sz w:val="24"/>
                <w:szCs w:val="24"/>
              </w:rPr>
            </w:pPr>
          </w:p>
        </w:tc>
      </w:tr>
      <w:tr w:rsidR="00197118" w14:paraId="5732E5FE" w14:textId="77777777" w:rsidTr="003C7917">
        <w:tc>
          <w:tcPr>
            <w:tcW w:w="846" w:type="dxa"/>
          </w:tcPr>
          <w:p w14:paraId="3E443733" w14:textId="77777777" w:rsidR="00197118" w:rsidRPr="00197118" w:rsidRDefault="00197118" w:rsidP="00197118">
            <w:pPr>
              <w:rPr>
                <w:rFonts w:ascii="Times New Roman" w:hAnsi="Times New Roman" w:cs="Times New Roman"/>
                <w:sz w:val="24"/>
                <w:szCs w:val="24"/>
              </w:rPr>
            </w:pPr>
            <w:r w:rsidRPr="00197118">
              <w:rPr>
                <w:rFonts w:ascii="Times New Roman" w:hAnsi="Times New Roman" w:cs="Times New Roman"/>
                <w:sz w:val="24"/>
                <w:szCs w:val="24"/>
              </w:rPr>
              <w:t xml:space="preserve">1.4 </w:t>
            </w:r>
          </w:p>
        </w:tc>
        <w:tc>
          <w:tcPr>
            <w:tcW w:w="4678" w:type="dxa"/>
          </w:tcPr>
          <w:p w14:paraId="5A0687AD" w14:textId="77777777" w:rsidR="00197118" w:rsidRPr="00197118" w:rsidRDefault="00197118" w:rsidP="008459D6">
            <w:pPr>
              <w:rPr>
                <w:rFonts w:ascii="Times New Roman" w:hAnsi="Times New Roman" w:cs="Times New Roman"/>
                <w:sz w:val="24"/>
                <w:szCs w:val="24"/>
              </w:rPr>
            </w:pPr>
            <w:r w:rsidRPr="00197118">
              <w:rPr>
                <w:rFonts w:ascii="Times New Roman" w:hAnsi="Times New Roman" w:cs="Times New Roman"/>
                <w:sz w:val="24"/>
                <w:szCs w:val="24"/>
              </w:rPr>
              <w:t>Country of Data Importer</w:t>
            </w:r>
            <w:r w:rsidR="008459D6">
              <w:rPr>
                <w:rFonts w:ascii="Times New Roman" w:hAnsi="Times New Roman" w:cs="Times New Roman"/>
                <w:sz w:val="24"/>
                <w:szCs w:val="24"/>
              </w:rPr>
              <w:t xml:space="preserve"> </w:t>
            </w:r>
          </w:p>
        </w:tc>
        <w:tc>
          <w:tcPr>
            <w:tcW w:w="5238" w:type="dxa"/>
          </w:tcPr>
          <w:p w14:paraId="478FE41E" w14:textId="77777777" w:rsidR="00197118" w:rsidRDefault="00197118" w:rsidP="00197118">
            <w:pPr>
              <w:rPr>
                <w:rFonts w:ascii="Times New Roman" w:hAnsi="Times New Roman" w:cs="Times New Roman"/>
                <w:sz w:val="24"/>
                <w:szCs w:val="24"/>
              </w:rPr>
            </w:pPr>
          </w:p>
          <w:p w14:paraId="762F3ECB" w14:textId="77777777" w:rsidR="00CD4F5C" w:rsidRDefault="00CD4F5C" w:rsidP="00197118">
            <w:pPr>
              <w:rPr>
                <w:rFonts w:ascii="Times New Roman" w:hAnsi="Times New Roman" w:cs="Times New Roman"/>
                <w:sz w:val="24"/>
                <w:szCs w:val="24"/>
              </w:rPr>
            </w:pPr>
          </w:p>
          <w:p w14:paraId="0D88E12B" w14:textId="77777777" w:rsidR="00B63701" w:rsidRPr="00197118" w:rsidRDefault="00B63701" w:rsidP="00197118">
            <w:pPr>
              <w:rPr>
                <w:rFonts w:ascii="Times New Roman" w:hAnsi="Times New Roman" w:cs="Times New Roman"/>
                <w:sz w:val="24"/>
                <w:szCs w:val="24"/>
              </w:rPr>
            </w:pPr>
          </w:p>
        </w:tc>
      </w:tr>
      <w:tr w:rsidR="003C7917" w14:paraId="4BAC0BD6" w14:textId="77777777" w:rsidTr="003C7917">
        <w:tc>
          <w:tcPr>
            <w:tcW w:w="846" w:type="dxa"/>
          </w:tcPr>
          <w:p w14:paraId="56AE2407" w14:textId="77777777" w:rsidR="003C7917" w:rsidRPr="008125B3" w:rsidRDefault="00D01DC5" w:rsidP="003C7917">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14:paraId="71A909D1"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Status of the D</w:t>
            </w:r>
            <w:r w:rsidR="002E33DF">
              <w:rPr>
                <w:rFonts w:ascii="Times New Roman" w:hAnsi="Times New Roman" w:cs="Times New Roman"/>
                <w:sz w:val="24"/>
                <w:szCs w:val="24"/>
              </w:rPr>
              <w:t>ata I</w:t>
            </w:r>
            <w:r w:rsidR="003C7917" w:rsidRPr="008125B3">
              <w:rPr>
                <w:rFonts w:ascii="Times New Roman" w:hAnsi="Times New Roman" w:cs="Times New Roman"/>
                <w:sz w:val="24"/>
                <w:szCs w:val="24"/>
              </w:rPr>
              <w:t xml:space="preserve">mporter in relation to the </w:t>
            </w:r>
            <w:r>
              <w:rPr>
                <w:rFonts w:ascii="Times New Roman" w:hAnsi="Times New Roman" w:cs="Times New Roman"/>
                <w:sz w:val="24"/>
                <w:szCs w:val="24"/>
              </w:rPr>
              <w:t xml:space="preserve">data </w:t>
            </w:r>
            <w:r w:rsidR="003C7917" w:rsidRPr="008125B3">
              <w:rPr>
                <w:rFonts w:ascii="Times New Roman" w:hAnsi="Times New Roman" w:cs="Times New Roman"/>
                <w:sz w:val="24"/>
                <w:szCs w:val="24"/>
              </w:rPr>
              <w:t>transfer</w:t>
            </w:r>
          </w:p>
        </w:tc>
        <w:tc>
          <w:tcPr>
            <w:tcW w:w="5238" w:type="dxa"/>
          </w:tcPr>
          <w:p w14:paraId="7CEA78A1"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Controller</w:t>
            </w:r>
          </w:p>
          <w:p w14:paraId="4A22B34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Joint Controller</w:t>
            </w:r>
          </w:p>
          <w:p w14:paraId="3045395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Processor</w:t>
            </w:r>
          </w:p>
          <w:p w14:paraId="6AB65496" w14:textId="77777777" w:rsidR="000E5414" w:rsidRDefault="0065044C"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3C7917" w:rsidRPr="008125B3">
              <w:rPr>
                <w:rFonts w:ascii="Times New Roman" w:hAnsi="Times New Roman" w:cs="Times New Roman"/>
                <w:sz w:val="24"/>
                <w:szCs w:val="24"/>
              </w:rPr>
              <w:t>Sub-processor</w:t>
            </w:r>
          </w:p>
          <w:p w14:paraId="6FD7FA59" w14:textId="77777777" w:rsidR="00B63701" w:rsidRPr="00CD4F5C" w:rsidRDefault="00B63701" w:rsidP="00CD4F5C">
            <w:pPr>
              <w:spacing w:after="60"/>
              <w:ind w:left="455" w:hanging="455"/>
              <w:rPr>
                <w:rFonts w:ascii="Times New Roman" w:hAnsi="Times New Roman" w:cs="Times New Roman"/>
                <w:sz w:val="24"/>
                <w:szCs w:val="24"/>
              </w:rPr>
            </w:pPr>
          </w:p>
        </w:tc>
      </w:tr>
      <w:tr w:rsidR="003C7917" w14:paraId="7740CD92" w14:textId="77777777" w:rsidTr="003C7917">
        <w:tc>
          <w:tcPr>
            <w:tcW w:w="846" w:type="dxa"/>
          </w:tcPr>
          <w:p w14:paraId="224EF2FA" w14:textId="77777777" w:rsidR="003C7917" w:rsidRPr="008125B3" w:rsidRDefault="00D01DC5" w:rsidP="003C7917">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14:paraId="49CC1951" w14:textId="77777777" w:rsidR="003C7917" w:rsidRPr="008125B3" w:rsidRDefault="00CD4F5C"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Nature of D</w:t>
            </w:r>
            <w:r w:rsidR="002E33DF">
              <w:rPr>
                <w:rFonts w:ascii="Times New Roman" w:hAnsi="Times New Roman" w:cs="Times New Roman"/>
                <w:sz w:val="24"/>
                <w:szCs w:val="24"/>
              </w:rPr>
              <w:t>ata I</w:t>
            </w:r>
            <w:r w:rsidR="003C7917" w:rsidRPr="008125B3">
              <w:rPr>
                <w:rFonts w:ascii="Times New Roman" w:hAnsi="Times New Roman" w:cs="Times New Roman"/>
                <w:sz w:val="24"/>
                <w:szCs w:val="24"/>
              </w:rPr>
              <w:t>mporter’s business/operations</w:t>
            </w:r>
          </w:p>
        </w:tc>
        <w:tc>
          <w:tcPr>
            <w:tcW w:w="5238" w:type="dxa"/>
          </w:tcPr>
          <w:p w14:paraId="35F4109E"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Individual</w:t>
            </w:r>
          </w:p>
          <w:p w14:paraId="6F2E4F38" w14:textId="77777777" w:rsidR="00C601F9"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Public sector or</w:t>
            </w:r>
            <w:r w:rsidR="00C601F9">
              <w:rPr>
                <w:rFonts w:ascii="Times New Roman" w:hAnsi="Times New Roman" w:cs="Times New Roman"/>
                <w:sz w:val="24"/>
                <w:szCs w:val="24"/>
              </w:rPr>
              <w:t>ganisation (e.g. a regulator, a</w:t>
            </w:r>
          </w:p>
          <w:p w14:paraId="5EA1FEAB" w14:textId="77777777" w:rsidR="003C7917" w:rsidRPr="008125B3" w:rsidRDefault="00C601F9" w:rsidP="003C7917">
            <w:pPr>
              <w:spacing w:after="60"/>
              <w:ind w:left="455" w:hanging="455"/>
              <w:rPr>
                <w:rFonts w:ascii="Times New Roman" w:hAnsi="Times New Roman" w:cs="Times New Roman"/>
                <w:sz w:val="24"/>
                <w:szCs w:val="24"/>
              </w:rPr>
            </w:pPr>
            <w:r>
              <w:rPr>
                <w:rFonts w:ascii="Times New Roman" w:hAnsi="Times New Roman" w:cs="Times New Roman"/>
                <w:sz w:val="24"/>
                <w:szCs w:val="24"/>
              </w:rPr>
              <w:t xml:space="preserve">    </w:t>
            </w:r>
            <w:r w:rsidR="003C7917" w:rsidRPr="008125B3">
              <w:rPr>
                <w:rFonts w:ascii="Times New Roman" w:hAnsi="Times New Roman" w:cs="Times New Roman"/>
                <w:sz w:val="24"/>
                <w:szCs w:val="24"/>
              </w:rPr>
              <w:t xml:space="preserve">government department, </w:t>
            </w:r>
          </w:p>
          <w:p w14:paraId="07B3D28C"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Private sector organisation</w:t>
            </w:r>
          </w:p>
          <w:p w14:paraId="18A0F1F8" w14:textId="77777777" w:rsidR="003C7917" w:rsidRPr="008125B3" w:rsidRDefault="003C7917" w:rsidP="003C7917">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Pr="008125B3">
              <w:rPr>
                <w:rFonts w:ascii="Times New Roman" w:hAnsi="Times New Roman" w:cs="Times New Roman"/>
                <w:sz w:val="24"/>
                <w:szCs w:val="24"/>
              </w:rPr>
              <w:t>Non-governmental or civil society organisation</w:t>
            </w:r>
          </w:p>
          <w:p w14:paraId="716F77E7" w14:textId="77777777" w:rsidR="000E5414" w:rsidRDefault="003C7917" w:rsidP="00CD4F5C">
            <w:pPr>
              <w:spacing w:after="60"/>
              <w:ind w:left="455" w:hanging="455"/>
              <w:rPr>
                <w:rFonts w:ascii="Times New Roman" w:hAnsi="Times New Roman" w:cs="Times New Roman"/>
                <w:sz w:val="24"/>
                <w:szCs w:val="24"/>
              </w:rPr>
            </w:pPr>
            <w:r w:rsidRPr="008125B3">
              <w:rPr>
                <w:rFonts w:ascii="Segoe UI Symbol" w:hAnsi="Segoe UI Symbol" w:cs="Segoe UI Symbol"/>
                <w:sz w:val="24"/>
                <w:szCs w:val="24"/>
              </w:rPr>
              <w:t>☐</w:t>
            </w:r>
            <w:r w:rsidR="00C601F9">
              <w:rPr>
                <w:rFonts w:ascii="Times New Roman" w:hAnsi="Times New Roman" w:cs="Times New Roman"/>
                <w:sz w:val="24"/>
                <w:szCs w:val="24"/>
              </w:rPr>
              <w:t xml:space="preserve"> </w:t>
            </w:r>
            <w:r w:rsidR="00D04CD7">
              <w:rPr>
                <w:rFonts w:ascii="Times New Roman" w:hAnsi="Times New Roman" w:cs="Times New Roman"/>
                <w:sz w:val="24"/>
                <w:szCs w:val="24"/>
              </w:rPr>
              <w:t xml:space="preserve">Other </w:t>
            </w:r>
          </w:p>
          <w:p w14:paraId="5C57DDB1" w14:textId="77777777" w:rsidR="00D04CD7" w:rsidRDefault="00D04CD7" w:rsidP="00CD4F5C">
            <w:pPr>
              <w:spacing w:after="60"/>
              <w:ind w:left="455" w:hanging="455"/>
              <w:rPr>
                <w:rFonts w:ascii="Times New Roman" w:hAnsi="Times New Roman" w:cs="Times New Roman"/>
                <w:sz w:val="24"/>
                <w:szCs w:val="24"/>
              </w:rPr>
            </w:pPr>
          </w:p>
          <w:p w14:paraId="31E0A40C" w14:textId="77777777" w:rsidR="00D04CD7" w:rsidRDefault="00D04CD7" w:rsidP="00A302E4">
            <w:pPr>
              <w:spacing w:after="60"/>
              <w:ind w:left="455" w:hanging="455"/>
              <w:rPr>
                <w:rFonts w:ascii="Times New Roman" w:hAnsi="Times New Roman" w:cs="Times New Roman"/>
                <w:sz w:val="24"/>
                <w:szCs w:val="24"/>
              </w:rPr>
            </w:pPr>
            <w:r>
              <w:rPr>
                <w:rFonts w:ascii="Times New Roman" w:hAnsi="Times New Roman" w:cs="Times New Roman"/>
                <w:sz w:val="24"/>
                <w:szCs w:val="24"/>
              </w:rPr>
              <w:t>If ‘Other’ Provide details</w:t>
            </w:r>
          </w:p>
          <w:p w14:paraId="1202248C" w14:textId="77777777" w:rsidR="00533B19" w:rsidRPr="00A302E4" w:rsidRDefault="00533B19" w:rsidP="00A302E4">
            <w:pPr>
              <w:spacing w:after="60"/>
              <w:ind w:left="455" w:hanging="455"/>
              <w:rPr>
                <w:rFonts w:ascii="Times New Roman" w:hAnsi="Times New Roman" w:cs="Times New Roman"/>
                <w:sz w:val="24"/>
                <w:szCs w:val="24"/>
              </w:rPr>
            </w:pPr>
          </w:p>
        </w:tc>
      </w:tr>
      <w:tr w:rsidR="00197118" w14:paraId="0BE279D1" w14:textId="77777777" w:rsidTr="003C7917">
        <w:tc>
          <w:tcPr>
            <w:tcW w:w="846" w:type="dxa"/>
          </w:tcPr>
          <w:p w14:paraId="0C1B5B85" w14:textId="77777777" w:rsidR="00197118" w:rsidRPr="00197118" w:rsidRDefault="00B63701" w:rsidP="00197118">
            <w:pPr>
              <w:rPr>
                <w:rFonts w:ascii="Times New Roman" w:hAnsi="Times New Roman" w:cs="Times New Roman"/>
                <w:sz w:val="24"/>
                <w:szCs w:val="24"/>
              </w:rPr>
            </w:pPr>
            <w:r>
              <w:rPr>
                <w:rFonts w:ascii="Times New Roman" w:hAnsi="Times New Roman" w:cs="Times New Roman"/>
                <w:sz w:val="24"/>
                <w:szCs w:val="24"/>
              </w:rPr>
              <w:t>1.7</w:t>
            </w:r>
          </w:p>
        </w:tc>
        <w:tc>
          <w:tcPr>
            <w:tcW w:w="4678" w:type="dxa"/>
          </w:tcPr>
          <w:p w14:paraId="1092AC00" w14:textId="77777777" w:rsidR="00197118" w:rsidRPr="00C07835" w:rsidRDefault="00197118" w:rsidP="00197118">
            <w:pPr>
              <w:rPr>
                <w:rFonts w:ascii="Times New Roman" w:hAnsi="Times New Roman" w:cs="Times New Roman"/>
                <w:sz w:val="24"/>
                <w:szCs w:val="24"/>
              </w:rPr>
            </w:pPr>
            <w:r w:rsidRPr="00C07835">
              <w:rPr>
                <w:rFonts w:ascii="Times New Roman" w:hAnsi="Times New Roman" w:cs="Times New Roman"/>
                <w:sz w:val="24"/>
                <w:szCs w:val="24"/>
              </w:rPr>
              <w:t xml:space="preserve">Starting date of the data </w:t>
            </w:r>
            <w:r w:rsidR="000E5414" w:rsidRPr="00C07835">
              <w:rPr>
                <w:rFonts w:ascii="Times New Roman" w:hAnsi="Times New Roman" w:cs="Times New Roman"/>
                <w:sz w:val="24"/>
                <w:szCs w:val="24"/>
              </w:rPr>
              <w:t>transfer</w:t>
            </w:r>
          </w:p>
        </w:tc>
        <w:tc>
          <w:tcPr>
            <w:tcW w:w="5238" w:type="dxa"/>
          </w:tcPr>
          <w:p w14:paraId="65DD35B1" w14:textId="77777777" w:rsidR="00197118" w:rsidRDefault="00197118" w:rsidP="00197118">
            <w:pPr>
              <w:spacing w:after="60"/>
              <w:ind w:left="455" w:hanging="455"/>
              <w:rPr>
                <w:rFonts w:ascii="Segoe UI Symbol" w:hAnsi="Segoe UI Symbol" w:cs="Segoe UI Symbol"/>
                <w:sz w:val="24"/>
                <w:szCs w:val="24"/>
              </w:rPr>
            </w:pPr>
          </w:p>
          <w:p w14:paraId="7261C241" w14:textId="77777777" w:rsidR="00B63701" w:rsidRDefault="00B63701" w:rsidP="00332730">
            <w:pPr>
              <w:spacing w:after="60"/>
              <w:rPr>
                <w:rFonts w:ascii="Segoe UI Symbol" w:hAnsi="Segoe UI Symbol" w:cs="Segoe UI Symbol"/>
                <w:sz w:val="24"/>
                <w:szCs w:val="24"/>
              </w:rPr>
            </w:pPr>
          </w:p>
          <w:p w14:paraId="2B663A97" w14:textId="77777777" w:rsidR="00533B19" w:rsidRPr="008125B3" w:rsidRDefault="00533B19" w:rsidP="00332730">
            <w:pPr>
              <w:spacing w:after="60"/>
              <w:rPr>
                <w:rFonts w:ascii="Segoe UI Symbol" w:hAnsi="Segoe UI Symbol" w:cs="Segoe UI Symbol"/>
                <w:sz w:val="24"/>
                <w:szCs w:val="24"/>
              </w:rPr>
            </w:pPr>
          </w:p>
        </w:tc>
      </w:tr>
      <w:tr w:rsidR="00197118" w14:paraId="34883320" w14:textId="77777777" w:rsidTr="003C7917">
        <w:tc>
          <w:tcPr>
            <w:tcW w:w="846" w:type="dxa"/>
          </w:tcPr>
          <w:p w14:paraId="0A67FAEE" w14:textId="77777777" w:rsidR="00197118" w:rsidRPr="00197118" w:rsidRDefault="00B63701" w:rsidP="00197118">
            <w:pPr>
              <w:rPr>
                <w:rFonts w:ascii="Times New Roman" w:hAnsi="Times New Roman" w:cs="Times New Roman"/>
                <w:sz w:val="24"/>
                <w:szCs w:val="24"/>
              </w:rPr>
            </w:pPr>
            <w:r>
              <w:rPr>
                <w:rFonts w:ascii="Times New Roman" w:hAnsi="Times New Roman" w:cs="Times New Roman"/>
                <w:sz w:val="24"/>
                <w:szCs w:val="24"/>
              </w:rPr>
              <w:t>1.8</w:t>
            </w:r>
          </w:p>
        </w:tc>
        <w:tc>
          <w:tcPr>
            <w:tcW w:w="4678" w:type="dxa"/>
          </w:tcPr>
          <w:p w14:paraId="5212322F" w14:textId="77777777" w:rsidR="000E5414" w:rsidRDefault="000E5414" w:rsidP="00197118">
            <w:pPr>
              <w:rPr>
                <w:rFonts w:ascii="Times New Roman" w:hAnsi="Times New Roman" w:cs="Times New Roman"/>
                <w:sz w:val="24"/>
                <w:szCs w:val="24"/>
              </w:rPr>
            </w:pPr>
            <w:r w:rsidRPr="00C07835">
              <w:rPr>
                <w:rFonts w:ascii="Times New Roman" w:hAnsi="Times New Roman" w:cs="Times New Roman"/>
                <w:sz w:val="24"/>
                <w:szCs w:val="24"/>
              </w:rPr>
              <w:t>How often will the TIA be reviewed</w:t>
            </w:r>
            <w:r w:rsidR="007909E9" w:rsidRPr="00C07835">
              <w:rPr>
                <w:rFonts w:ascii="Times New Roman" w:hAnsi="Times New Roman" w:cs="Times New Roman"/>
                <w:sz w:val="24"/>
                <w:szCs w:val="24"/>
              </w:rPr>
              <w:t>? (next date of review to be specified and recorded for follow up purposes)</w:t>
            </w:r>
          </w:p>
          <w:p w14:paraId="1F1C17FB" w14:textId="77777777" w:rsidR="00A258E3" w:rsidRDefault="00A258E3" w:rsidP="00197118">
            <w:pPr>
              <w:rPr>
                <w:rFonts w:ascii="Times New Roman" w:hAnsi="Times New Roman" w:cs="Times New Roman"/>
                <w:sz w:val="24"/>
                <w:szCs w:val="24"/>
              </w:rPr>
            </w:pPr>
          </w:p>
          <w:p w14:paraId="13D0C909" w14:textId="77777777" w:rsidR="00A258E3" w:rsidRDefault="00A258E3" w:rsidP="00197118">
            <w:pPr>
              <w:rPr>
                <w:rFonts w:ascii="Times New Roman" w:hAnsi="Times New Roman" w:cs="Times New Roman"/>
                <w:sz w:val="24"/>
                <w:szCs w:val="24"/>
              </w:rPr>
            </w:pPr>
          </w:p>
          <w:p w14:paraId="4BBD115F" w14:textId="77777777" w:rsidR="00A258E3" w:rsidRDefault="00A258E3" w:rsidP="00197118">
            <w:pPr>
              <w:rPr>
                <w:rFonts w:ascii="Times New Roman" w:hAnsi="Times New Roman" w:cs="Times New Roman"/>
                <w:sz w:val="24"/>
                <w:szCs w:val="24"/>
              </w:rPr>
            </w:pPr>
          </w:p>
          <w:p w14:paraId="2F503EB5" w14:textId="77777777" w:rsidR="00A258E3" w:rsidRDefault="00A258E3" w:rsidP="00197118">
            <w:pPr>
              <w:rPr>
                <w:rFonts w:ascii="Times New Roman" w:hAnsi="Times New Roman" w:cs="Times New Roman"/>
                <w:sz w:val="24"/>
                <w:szCs w:val="24"/>
              </w:rPr>
            </w:pPr>
          </w:p>
          <w:p w14:paraId="34826D63" w14:textId="77777777" w:rsidR="00A258E3" w:rsidRPr="00C07835" w:rsidRDefault="00A258E3" w:rsidP="00197118">
            <w:pPr>
              <w:rPr>
                <w:rFonts w:ascii="Times New Roman" w:hAnsi="Times New Roman" w:cs="Times New Roman"/>
                <w:sz w:val="24"/>
                <w:szCs w:val="24"/>
              </w:rPr>
            </w:pPr>
          </w:p>
          <w:p w14:paraId="0AAB3B52" w14:textId="77777777" w:rsidR="00A302E4" w:rsidRPr="00C07835" w:rsidRDefault="00A302E4" w:rsidP="00197118">
            <w:pPr>
              <w:rPr>
                <w:rFonts w:ascii="Times New Roman" w:hAnsi="Times New Roman" w:cs="Times New Roman"/>
                <w:sz w:val="24"/>
                <w:szCs w:val="24"/>
              </w:rPr>
            </w:pPr>
          </w:p>
          <w:p w14:paraId="660F6FC9" w14:textId="77777777" w:rsidR="00A302E4" w:rsidRPr="00C07835" w:rsidRDefault="00A302E4" w:rsidP="00197118">
            <w:pPr>
              <w:rPr>
                <w:rFonts w:ascii="Times New Roman" w:hAnsi="Times New Roman" w:cs="Times New Roman"/>
                <w:sz w:val="24"/>
                <w:szCs w:val="24"/>
              </w:rPr>
            </w:pPr>
          </w:p>
        </w:tc>
        <w:tc>
          <w:tcPr>
            <w:tcW w:w="5238" w:type="dxa"/>
          </w:tcPr>
          <w:p w14:paraId="7940584B" w14:textId="77777777" w:rsidR="00B63701" w:rsidRPr="00A302E4" w:rsidRDefault="00B63701" w:rsidP="00B63701">
            <w:pPr>
              <w:spacing w:after="60"/>
              <w:rPr>
                <w:rFonts w:ascii="Segoe UI Symbol" w:hAnsi="Segoe UI Symbol" w:cs="Segoe UI Symbol"/>
                <w:sz w:val="12"/>
                <w:szCs w:val="12"/>
              </w:rPr>
            </w:pPr>
          </w:p>
        </w:tc>
      </w:tr>
      <w:tr w:rsidR="00B63701" w14:paraId="79C96BAF" w14:textId="77777777" w:rsidTr="00B63701">
        <w:tc>
          <w:tcPr>
            <w:tcW w:w="846" w:type="dxa"/>
            <w:shd w:val="clear" w:color="auto" w:fill="C5E0B3" w:themeFill="accent6" w:themeFillTint="66"/>
          </w:tcPr>
          <w:p w14:paraId="681E3275" w14:textId="77777777" w:rsidR="00B63701" w:rsidRPr="008125B3" w:rsidRDefault="00B63701" w:rsidP="00B63701">
            <w:pPr>
              <w:rPr>
                <w:rFonts w:ascii="Times New Roman" w:hAnsi="Times New Roman" w:cs="Times New Roman"/>
                <w:sz w:val="12"/>
                <w:szCs w:val="12"/>
              </w:rPr>
            </w:pPr>
          </w:p>
          <w:p w14:paraId="6982988E" w14:textId="77777777" w:rsidR="00B63701" w:rsidRPr="008125B3" w:rsidRDefault="00B63701" w:rsidP="00B63701">
            <w:pPr>
              <w:rPr>
                <w:rFonts w:ascii="Times New Roman" w:hAnsi="Times New Roman" w:cs="Times New Roman"/>
                <w:sz w:val="24"/>
                <w:szCs w:val="24"/>
              </w:rPr>
            </w:pPr>
            <w:r>
              <w:rPr>
                <w:rFonts w:ascii="Times New Roman" w:hAnsi="Times New Roman" w:cs="Times New Roman"/>
                <w:sz w:val="24"/>
                <w:szCs w:val="24"/>
              </w:rPr>
              <w:t>2</w:t>
            </w:r>
            <w:r w:rsidRPr="008125B3">
              <w:rPr>
                <w:rFonts w:ascii="Times New Roman" w:hAnsi="Times New Roman" w:cs="Times New Roman"/>
                <w:sz w:val="24"/>
                <w:szCs w:val="24"/>
              </w:rPr>
              <w:t>.</w:t>
            </w:r>
          </w:p>
        </w:tc>
        <w:tc>
          <w:tcPr>
            <w:tcW w:w="9916" w:type="dxa"/>
            <w:gridSpan w:val="2"/>
            <w:shd w:val="clear" w:color="auto" w:fill="C5E0B3" w:themeFill="accent6" w:themeFillTint="66"/>
          </w:tcPr>
          <w:p w14:paraId="5223688F" w14:textId="77777777" w:rsidR="00B63701" w:rsidRPr="008125B3" w:rsidRDefault="00B63701" w:rsidP="00B63701">
            <w:pPr>
              <w:rPr>
                <w:rFonts w:ascii="Times New Roman" w:hAnsi="Times New Roman" w:cs="Times New Roman"/>
                <w:b/>
                <w:sz w:val="12"/>
                <w:szCs w:val="12"/>
              </w:rPr>
            </w:pPr>
          </w:p>
          <w:p w14:paraId="336F2226" w14:textId="77777777" w:rsidR="00B63701" w:rsidRPr="008125B3" w:rsidRDefault="00B63701" w:rsidP="00B63701">
            <w:pPr>
              <w:rPr>
                <w:rFonts w:ascii="Times New Roman" w:hAnsi="Times New Roman" w:cs="Times New Roman"/>
                <w:sz w:val="12"/>
                <w:szCs w:val="12"/>
              </w:rPr>
            </w:pPr>
            <w:r>
              <w:rPr>
                <w:rFonts w:ascii="Times New Roman" w:hAnsi="Times New Roman" w:cs="Times New Roman"/>
                <w:b/>
                <w:sz w:val="24"/>
                <w:szCs w:val="24"/>
              </w:rPr>
              <w:t>Receiving Jurisdiction / Third Country</w:t>
            </w:r>
          </w:p>
          <w:p w14:paraId="497DCA5F" w14:textId="77777777" w:rsidR="00B63701" w:rsidRPr="00B63701" w:rsidRDefault="00B63701" w:rsidP="00B63701">
            <w:pPr>
              <w:rPr>
                <w:rFonts w:ascii="Times New Roman" w:hAnsi="Times New Roman" w:cs="Times New Roman"/>
                <w:sz w:val="12"/>
                <w:szCs w:val="12"/>
              </w:rPr>
            </w:pPr>
          </w:p>
        </w:tc>
      </w:tr>
      <w:tr w:rsidR="00197118" w14:paraId="70389D56" w14:textId="77777777" w:rsidTr="003C7917">
        <w:tc>
          <w:tcPr>
            <w:tcW w:w="846" w:type="dxa"/>
          </w:tcPr>
          <w:p w14:paraId="3F351C39" w14:textId="77777777" w:rsidR="00197118" w:rsidRPr="00197118" w:rsidRDefault="00B63701" w:rsidP="003C7917">
            <w:pPr>
              <w:rPr>
                <w:rFonts w:ascii="Times New Roman" w:hAnsi="Times New Roman" w:cs="Times New Roman"/>
                <w:sz w:val="24"/>
                <w:szCs w:val="24"/>
              </w:rPr>
            </w:pPr>
            <w:r>
              <w:rPr>
                <w:rFonts w:ascii="Times New Roman" w:hAnsi="Times New Roman" w:cs="Times New Roman"/>
                <w:sz w:val="24"/>
                <w:szCs w:val="24"/>
              </w:rPr>
              <w:t>2.1</w:t>
            </w:r>
          </w:p>
        </w:tc>
        <w:tc>
          <w:tcPr>
            <w:tcW w:w="4678" w:type="dxa"/>
          </w:tcPr>
          <w:p w14:paraId="73889617" w14:textId="77777777" w:rsidR="00197118" w:rsidRPr="00197118" w:rsidRDefault="00B63701" w:rsidP="0087741D">
            <w:pPr>
              <w:spacing w:after="60"/>
              <w:ind w:left="57" w:right="57"/>
              <w:rPr>
                <w:rFonts w:ascii="Times New Roman" w:hAnsi="Times New Roman" w:cs="Times New Roman"/>
                <w:sz w:val="24"/>
                <w:szCs w:val="24"/>
              </w:rPr>
            </w:pPr>
            <w:r>
              <w:rPr>
                <w:rFonts w:ascii="Times New Roman" w:hAnsi="Times New Roman" w:cs="Times New Roman"/>
                <w:sz w:val="24"/>
                <w:szCs w:val="24"/>
              </w:rPr>
              <w:t>What count</w:t>
            </w:r>
            <w:r w:rsidR="0087741D">
              <w:rPr>
                <w:rFonts w:ascii="Times New Roman" w:hAnsi="Times New Roman" w:cs="Times New Roman"/>
                <w:sz w:val="24"/>
                <w:szCs w:val="24"/>
              </w:rPr>
              <w:t xml:space="preserve">ry is the personal data being  </w:t>
            </w:r>
            <w:r>
              <w:rPr>
                <w:rFonts w:ascii="Times New Roman" w:hAnsi="Times New Roman" w:cs="Times New Roman"/>
                <w:sz w:val="24"/>
                <w:szCs w:val="24"/>
              </w:rPr>
              <w:t>transferred to</w:t>
            </w:r>
            <w:r w:rsidR="007909E9">
              <w:rPr>
                <w:rFonts w:ascii="Times New Roman" w:hAnsi="Times New Roman" w:cs="Times New Roman"/>
                <w:sz w:val="24"/>
                <w:szCs w:val="24"/>
              </w:rPr>
              <w:t>/accessed from</w:t>
            </w:r>
            <w:r>
              <w:rPr>
                <w:rFonts w:ascii="Times New Roman" w:hAnsi="Times New Roman" w:cs="Times New Roman"/>
                <w:sz w:val="24"/>
                <w:szCs w:val="24"/>
              </w:rPr>
              <w:t>?</w:t>
            </w:r>
          </w:p>
        </w:tc>
        <w:tc>
          <w:tcPr>
            <w:tcW w:w="5238" w:type="dxa"/>
          </w:tcPr>
          <w:p w14:paraId="59F2D2F6" w14:textId="77777777" w:rsidR="00197118" w:rsidRDefault="00197118" w:rsidP="000E5414">
            <w:pPr>
              <w:spacing w:after="60"/>
              <w:rPr>
                <w:rFonts w:ascii="Segoe UI Symbol" w:hAnsi="Segoe UI Symbol" w:cs="Segoe UI Symbol"/>
                <w:sz w:val="24"/>
                <w:szCs w:val="24"/>
              </w:rPr>
            </w:pPr>
          </w:p>
          <w:p w14:paraId="539402B4" w14:textId="77777777" w:rsidR="00B63701" w:rsidRPr="008125B3" w:rsidRDefault="00B63701" w:rsidP="000E5414">
            <w:pPr>
              <w:spacing w:after="60"/>
              <w:rPr>
                <w:rFonts w:ascii="Segoe UI Symbol" w:hAnsi="Segoe UI Symbol" w:cs="Segoe UI Symbol"/>
                <w:sz w:val="24"/>
                <w:szCs w:val="24"/>
              </w:rPr>
            </w:pPr>
          </w:p>
        </w:tc>
      </w:tr>
      <w:tr w:rsidR="00CD4F5C" w14:paraId="5CCDFB95" w14:textId="77777777" w:rsidTr="003C7917">
        <w:tc>
          <w:tcPr>
            <w:tcW w:w="846" w:type="dxa"/>
          </w:tcPr>
          <w:p w14:paraId="46F8E64D" w14:textId="77777777" w:rsidR="00CD4F5C" w:rsidRPr="00197118" w:rsidRDefault="00B63701" w:rsidP="003C7917">
            <w:pPr>
              <w:rPr>
                <w:rFonts w:ascii="Times New Roman" w:hAnsi="Times New Roman" w:cs="Times New Roman"/>
                <w:sz w:val="24"/>
                <w:szCs w:val="24"/>
              </w:rPr>
            </w:pPr>
            <w:r>
              <w:rPr>
                <w:rFonts w:ascii="Times New Roman" w:hAnsi="Times New Roman" w:cs="Times New Roman"/>
                <w:sz w:val="24"/>
                <w:szCs w:val="24"/>
              </w:rPr>
              <w:t>2.2</w:t>
            </w:r>
          </w:p>
        </w:tc>
        <w:tc>
          <w:tcPr>
            <w:tcW w:w="4678" w:type="dxa"/>
          </w:tcPr>
          <w:p w14:paraId="55A7EDC4" w14:textId="77777777" w:rsidR="006B19BC" w:rsidRPr="00C07835" w:rsidRDefault="006B19BC" w:rsidP="005E1BEA">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 xml:space="preserve">What </w:t>
            </w:r>
            <w:r w:rsidR="00CD4F5C" w:rsidRPr="00C07835">
              <w:rPr>
                <w:rFonts w:ascii="Times New Roman" w:hAnsi="Times New Roman" w:cs="Times New Roman"/>
                <w:sz w:val="24"/>
                <w:szCs w:val="24"/>
              </w:rPr>
              <w:t xml:space="preserve">GDPR Article 46 transfer mechanism </w:t>
            </w:r>
            <w:r w:rsidR="005E1BEA" w:rsidRPr="00C07835">
              <w:rPr>
                <w:rFonts w:ascii="Times New Roman" w:hAnsi="Times New Roman" w:cs="Times New Roman"/>
                <w:sz w:val="24"/>
                <w:szCs w:val="24"/>
              </w:rPr>
              <w:t xml:space="preserve">is </w:t>
            </w:r>
            <w:r w:rsidR="00CD4F5C" w:rsidRPr="00C07835">
              <w:rPr>
                <w:rFonts w:ascii="Times New Roman" w:hAnsi="Times New Roman" w:cs="Times New Roman"/>
                <w:sz w:val="24"/>
                <w:szCs w:val="24"/>
              </w:rPr>
              <w:t xml:space="preserve">used to facilitate the data transfer to the Data </w:t>
            </w:r>
            <w:r w:rsidR="006601E7" w:rsidRPr="00C07835">
              <w:rPr>
                <w:rFonts w:ascii="Times New Roman" w:hAnsi="Times New Roman" w:cs="Times New Roman"/>
                <w:sz w:val="24"/>
                <w:szCs w:val="24"/>
              </w:rPr>
              <w:t>I</w:t>
            </w:r>
            <w:r w:rsidR="00CD4F5C" w:rsidRPr="00C07835">
              <w:rPr>
                <w:rFonts w:ascii="Times New Roman" w:hAnsi="Times New Roman" w:cs="Times New Roman"/>
                <w:sz w:val="24"/>
                <w:szCs w:val="24"/>
              </w:rPr>
              <w:t>mporter</w:t>
            </w:r>
            <w:r w:rsidRPr="00C07835">
              <w:rPr>
                <w:rFonts w:ascii="Times New Roman" w:hAnsi="Times New Roman" w:cs="Times New Roman"/>
                <w:sz w:val="24"/>
                <w:szCs w:val="24"/>
              </w:rPr>
              <w:t>?</w:t>
            </w:r>
          </w:p>
        </w:tc>
        <w:tc>
          <w:tcPr>
            <w:tcW w:w="5238" w:type="dxa"/>
          </w:tcPr>
          <w:p w14:paraId="26595138" w14:textId="77777777" w:rsidR="00CD4F5C" w:rsidRPr="00C07835" w:rsidRDefault="00CD4F5C" w:rsidP="000E5414">
            <w:pPr>
              <w:spacing w:after="60"/>
              <w:rPr>
                <w:rFonts w:ascii="Segoe UI Symbol" w:hAnsi="Segoe UI Symbol" w:cs="Segoe UI Symbol"/>
                <w:sz w:val="24"/>
                <w:szCs w:val="24"/>
              </w:rPr>
            </w:pPr>
          </w:p>
          <w:p w14:paraId="4B8DA317" w14:textId="77777777" w:rsidR="00B63701" w:rsidRPr="00C07835" w:rsidRDefault="00B63701" w:rsidP="000E5414">
            <w:pPr>
              <w:spacing w:after="60"/>
              <w:rPr>
                <w:rFonts w:ascii="Segoe UI Symbol" w:hAnsi="Segoe UI Symbol" w:cs="Segoe UI Symbol"/>
                <w:sz w:val="24"/>
                <w:szCs w:val="24"/>
              </w:rPr>
            </w:pPr>
          </w:p>
          <w:p w14:paraId="13B689B7" w14:textId="77777777" w:rsidR="00B63701" w:rsidRPr="00C07835" w:rsidRDefault="00B63701" w:rsidP="000E5414">
            <w:pPr>
              <w:spacing w:after="60"/>
              <w:rPr>
                <w:rFonts w:ascii="Segoe UI Symbol" w:hAnsi="Segoe UI Symbol" w:cs="Segoe UI Symbol"/>
                <w:sz w:val="24"/>
                <w:szCs w:val="24"/>
              </w:rPr>
            </w:pPr>
          </w:p>
        </w:tc>
      </w:tr>
      <w:tr w:rsidR="00B63701" w14:paraId="68AF7B65" w14:textId="77777777" w:rsidTr="003C7917">
        <w:tc>
          <w:tcPr>
            <w:tcW w:w="846" w:type="dxa"/>
          </w:tcPr>
          <w:p w14:paraId="6539759E" w14:textId="77777777" w:rsidR="00B63701" w:rsidRDefault="00B63701" w:rsidP="00B63701">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14:paraId="68621D37" w14:textId="77777777" w:rsidR="00B63701" w:rsidRPr="00C07835" w:rsidRDefault="00B63701" w:rsidP="00B63701">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Nature of Data Transfer</w:t>
            </w:r>
          </w:p>
        </w:tc>
        <w:tc>
          <w:tcPr>
            <w:tcW w:w="5238" w:type="dxa"/>
          </w:tcPr>
          <w:p w14:paraId="1707B9A0"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Personal data is hosted by HSE within the EEA,          </w:t>
            </w:r>
          </w:p>
          <w:p w14:paraId="1E68DF2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Data Importer does </w:t>
            </w:r>
            <w:r w:rsidRPr="00C07835">
              <w:rPr>
                <w:rFonts w:ascii="Times New Roman" w:hAnsi="Times New Roman" w:cs="Times New Roman"/>
                <w:sz w:val="24"/>
                <w:szCs w:val="24"/>
                <w:u w:val="single"/>
              </w:rPr>
              <w:t>not</w:t>
            </w:r>
            <w:r w:rsidRPr="00C07835">
              <w:rPr>
                <w:rFonts w:ascii="Times New Roman" w:hAnsi="Times New Roman" w:cs="Times New Roman"/>
                <w:sz w:val="24"/>
                <w:szCs w:val="24"/>
              </w:rPr>
              <w:t xml:space="preserve"> have the ability to  </w:t>
            </w:r>
          </w:p>
          <w:p w14:paraId="3845C591"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download copies of the personal data, but the </w:t>
            </w:r>
          </w:p>
          <w:p w14:paraId="67B922D1"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Data Importer </w:t>
            </w:r>
            <w:r w:rsidRPr="00410CFD">
              <w:rPr>
                <w:rFonts w:ascii="Times New Roman" w:hAnsi="Times New Roman" w:cs="Times New Roman"/>
                <w:sz w:val="24"/>
                <w:szCs w:val="24"/>
              </w:rPr>
              <w:t>does</w:t>
            </w:r>
            <w:r w:rsidRPr="00C07835">
              <w:rPr>
                <w:rFonts w:ascii="Times New Roman" w:hAnsi="Times New Roman" w:cs="Times New Roman"/>
                <w:sz w:val="24"/>
                <w:szCs w:val="24"/>
              </w:rPr>
              <w:t xml:space="preserve"> have the ability to access the </w:t>
            </w:r>
          </w:p>
          <w:p w14:paraId="44798F4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personal data remotely from a country outside   </w:t>
            </w:r>
          </w:p>
          <w:p w14:paraId="067A917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EEA </w:t>
            </w:r>
            <w:r w:rsidRPr="00410CFD">
              <w:rPr>
                <w:rFonts w:ascii="Times New Roman" w:hAnsi="Times New Roman" w:cs="Times New Roman"/>
                <w:sz w:val="24"/>
                <w:szCs w:val="24"/>
              </w:rPr>
              <w:t xml:space="preserve">not </w:t>
            </w:r>
            <w:r w:rsidR="00410CFD">
              <w:rPr>
                <w:rFonts w:ascii="Times New Roman" w:hAnsi="Times New Roman" w:cs="Times New Roman"/>
                <w:sz w:val="24"/>
                <w:szCs w:val="24"/>
              </w:rPr>
              <w:t xml:space="preserve">covered by a European                                                                      </w:t>
            </w:r>
            <w:r w:rsidR="00417570">
              <w:rPr>
                <w:rFonts w:ascii="Times New Roman" w:hAnsi="Times New Roman" w:cs="Times New Roman"/>
                <w:sz w:val="24"/>
                <w:szCs w:val="24"/>
              </w:rPr>
              <w:t xml:space="preserve">  </w:t>
            </w:r>
            <w:r w:rsidR="00410CFD">
              <w:rPr>
                <w:rFonts w:ascii="Times New Roman" w:hAnsi="Times New Roman" w:cs="Times New Roman"/>
                <w:sz w:val="24"/>
                <w:szCs w:val="24"/>
              </w:rPr>
              <w:t>Commission ‘adequacy decision’</w:t>
            </w:r>
            <w:r w:rsidRPr="00C07835">
              <w:rPr>
                <w:rFonts w:ascii="Times New Roman" w:hAnsi="Times New Roman" w:cs="Times New Roman"/>
                <w:sz w:val="24"/>
                <w:szCs w:val="24"/>
              </w:rPr>
              <w:t>.</w:t>
            </w:r>
          </w:p>
          <w:p w14:paraId="272ACFE1" w14:textId="77777777" w:rsidR="00B63701" w:rsidRPr="00C07835" w:rsidRDefault="00B63701" w:rsidP="00B63701">
            <w:pPr>
              <w:spacing w:after="60"/>
              <w:rPr>
                <w:rFonts w:ascii="Times New Roman" w:hAnsi="Times New Roman" w:cs="Times New Roman"/>
                <w:sz w:val="24"/>
                <w:szCs w:val="24"/>
              </w:rPr>
            </w:pPr>
          </w:p>
          <w:p w14:paraId="3075C22E"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Personal data is hosted by HSE within the EEA, </w:t>
            </w:r>
          </w:p>
          <w:p w14:paraId="30A7379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Data Importer has the ability to access the </w:t>
            </w:r>
          </w:p>
          <w:p w14:paraId="1A0BEC94"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personal data remotely from a country outside </w:t>
            </w:r>
          </w:p>
          <w:p w14:paraId="567FAC00"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the EEA </w:t>
            </w:r>
            <w:r w:rsidRPr="00C07835">
              <w:rPr>
                <w:rFonts w:ascii="Times New Roman" w:hAnsi="Times New Roman" w:cs="Times New Roman"/>
                <w:sz w:val="24"/>
                <w:szCs w:val="24"/>
                <w:u w:val="single"/>
              </w:rPr>
              <w:t xml:space="preserve">not </w:t>
            </w:r>
            <w:r w:rsidRPr="00C07835">
              <w:rPr>
                <w:rFonts w:ascii="Times New Roman" w:hAnsi="Times New Roman" w:cs="Times New Roman"/>
                <w:sz w:val="24"/>
                <w:szCs w:val="24"/>
              </w:rPr>
              <w:t xml:space="preserve">covered by an </w:t>
            </w:r>
            <w:r w:rsidR="00A71691">
              <w:rPr>
                <w:rFonts w:ascii="Times New Roman" w:hAnsi="Times New Roman" w:cs="Times New Roman"/>
                <w:sz w:val="24"/>
                <w:szCs w:val="24"/>
              </w:rPr>
              <w:t>European Commission</w:t>
            </w:r>
            <w:r w:rsidRPr="00C07835">
              <w:rPr>
                <w:rFonts w:ascii="Times New Roman" w:hAnsi="Times New Roman" w:cs="Times New Roman"/>
                <w:sz w:val="24"/>
                <w:szCs w:val="24"/>
              </w:rPr>
              <w:t xml:space="preserve"> </w:t>
            </w:r>
          </w:p>
          <w:p w14:paraId="7AF66BB7"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‘adequacy decision’, and if necessary to  </w:t>
            </w:r>
          </w:p>
          <w:p w14:paraId="5A8F4503"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download and store copies of the personal data </w:t>
            </w:r>
          </w:p>
          <w:p w14:paraId="455775E8"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within the country outside the EEA </w:t>
            </w:r>
            <w:r w:rsidRPr="00C07835">
              <w:rPr>
                <w:rFonts w:ascii="Times New Roman" w:hAnsi="Times New Roman" w:cs="Times New Roman"/>
                <w:sz w:val="24"/>
                <w:szCs w:val="24"/>
                <w:u w:val="single"/>
              </w:rPr>
              <w:t xml:space="preserve">not </w:t>
            </w:r>
            <w:r w:rsidRPr="00C07835">
              <w:rPr>
                <w:rFonts w:ascii="Times New Roman" w:hAnsi="Times New Roman" w:cs="Times New Roman"/>
                <w:sz w:val="24"/>
                <w:szCs w:val="24"/>
              </w:rPr>
              <w:t xml:space="preserve">covered </w:t>
            </w:r>
          </w:p>
          <w:p w14:paraId="47531BC0"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t>
            </w:r>
            <w:r w:rsidR="00981242">
              <w:rPr>
                <w:rFonts w:ascii="Times New Roman" w:hAnsi="Times New Roman" w:cs="Times New Roman"/>
                <w:sz w:val="24"/>
                <w:szCs w:val="24"/>
              </w:rPr>
              <w:t>by an European</w:t>
            </w:r>
            <w:r w:rsidRPr="00C07835">
              <w:rPr>
                <w:rFonts w:ascii="Times New Roman" w:hAnsi="Times New Roman" w:cs="Times New Roman"/>
                <w:sz w:val="24"/>
                <w:szCs w:val="24"/>
              </w:rPr>
              <w:t xml:space="preserve"> Commission ‘adequacy decision’,</w:t>
            </w:r>
          </w:p>
          <w:p w14:paraId="5A5C5FC0" w14:textId="77777777" w:rsidR="00B63701" w:rsidRPr="00C07835" w:rsidRDefault="00B63701" w:rsidP="00B63701">
            <w:pPr>
              <w:spacing w:after="60"/>
              <w:rPr>
                <w:rFonts w:ascii="Times New Roman" w:hAnsi="Times New Roman" w:cs="Times New Roman"/>
                <w:sz w:val="24"/>
                <w:szCs w:val="24"/>
              </w:rPr>
            </w:pPr>
          </w:p>
          <w:p w14:paraId="24D24223" w14:textId="77777777" w:rsidR="00B63701" w:rsidRPr="00C07835" w:rsidRDefault="00B63701" w:rsidP="00B63701">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The Data Importer hosts or stores the personal </w:t>
            </w:r>
          </w:p>
          <w:p w14:paraId="313FF615"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data in a country outside the EEA not covered</w:t>
            </w:r>
          </w:p>
          <w:p w14:paraId="7DD05466" w14:textId="77777777" w:rsidR="00B63701" w:rsidRPr="00C07835" w:rsidRDefault="00B63701" w:rsidP="00B63701">
            <w:pPr>
              <w:spacing w:after="60"/>
              <w:rPr>
                <w:rFonts w:ascii="Times New Roman" w:hAnsi="Times New Roman" w:cs="Times New Roman"/>
                <w:sz w:val="24"/>
                <w:szCs w:val="24"/>
              </w:rPr>
            </w:pPr>
            <w:r w:rsidRPr="00C07835">
              <w:rPr>
                <w:rFonts w:ascii="Times New Roman" w:hAnsi="Times New Roman" w:cs="Times New Roman"/>
                <w:sz w:val="24"/>
                <w:szCs w:val="24"/>
              </w:rPr>
              <w:t xml:space="preserve">     </w:t>
            </w:r>
            <w:r w:rsidR="00E67A23">
              <w:rPr>
                <w:rFonts w:ascii="Times New Roman" w:hAnsi="Times New Roman" w:cs="Times New Roman"/>
                <w:sz w:val="24"/>
                <w:szCs w:val="24"/>
              </w:rPr>
              <w:t>by an European</w:t>
            </w:r>
            <w:r w:rsidRPr="00C07835">
              <w:rPr>
                <w:rFonts w:ascii="Times New Roman" w:hAnsi="Times New Roman" w:cs="Times New Roman"/>
                <w:sz w:val="24"/>
                <w:szCs w:val="24"/>
              </w:rPr>
              <w:t xml:space="preserve"> Commission ‘adequacy decision’</w:t>
            </w:r>
          </w:p>
          <w:p w14:paraId="3C42C5EA" w14:textId="77777777" w:rsidR="00B63701" w:rsidRPr="00C07835" w:rsidRDefault="00B63701" w:rsidP="00B63701">
            <w:pPr>
              <w:spacing w:after="60"/>
              <w:rPr>
                <w:rFonts w:ascii="Times New Roman" w:hAnsi="Times New Roman" w:cs="Times New Roman"/>
                <w:sz w:val="24"/>
                <w:szCs w:val="24"/>
              </w:rPr>
            </w:pPr>
          </w:p>
        </w:tc>
      </w:tr>
      <w:tr w:rsidR="00A302E4" w14:paraId="186E551C" w14:textId="77777777" w:rsidTr="003C7917">
        <w:tc>
          <w:tcPr>
            <w:tcW w:w="846" w:type="dxa"/>
          </w:tcPr>
          <w:p w14:paraId="2F1DC648" w14:textId="77777777" w:rsidR="00A302E4" w:rsidRDefault="00A302E4" w:rsidP="00A302E4">
            <w:pPr>
              <w:rPr>
                <w:rFonts w:ascii="Times New Roman" w:hAnsi="Times New Roman" w:cs="Times New Roman"/>
                <w:sz w:val="24"/>
                <w:szCs w:val="24"/>
              </w:rPr>
            </w:pPr>
            <w:r>
              <w:rPr>
                <w:rFonts w:ascii="Times New Roman" w:hAnsi="Times New Roman" w:cs="Times New Roman"/>
                <w:sz w:val="24"/>
                <w:szCs w:val="24"/>
              </w:rPr>
              <w:t>2.4</w:t>
            </w:r>
          </w:p>
        </w:tc>
        <w:tc>
          <w:tcPr>
            <w:tcW w:w="4678" w:type="dxa"/>
          </w:tcPr>
          <w:p w14:paraId="244C83E9" w14:textId="77777777" w:rsidR="00A302E4" w:rsidRPr="00C07835" w:rsidRDefault="00A302E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Will the Data Importer be transferring the personal data onwards to another party/parties (e.g. sub-contractors, sub-processors, etc.)</w:t>
            </w:r>
            <w:r w:rsidR="007909E9" w:rsidRPr="00C07835">
              <w:rPr>
                <w:rFonts w:ascii="Times New Roman" w:hAnsi="Times New Roman" w:cs="Times New Roman"/>
                <w:sz w:val="24"/>
                <w:szCs w:val="24"/>
              </w:rPr>
              <w:t>?</w:t>
            </w:r>
          </w:p>
        </w:tc>
        <w:tc>
          <w:tcPr>
            <w:tcW w:w="5238" w:type="dxa"/>
          </w:tcPr>
          <w:p w14:paraId="266D4DA0" w14:textId="77777777" w:rsidR="00A302E4" w:rsidRPr="00C07835" w:rsidRDefault="00A302E4" w:rsidP="00A302E4">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Yes</w:t>
            </w:r>
          </w:p>
          <w:p w14:paraId="4A47ADA5" w14:textId="77777777" w:rsidR="00A302E4" w:rsidRPr="00C07835" w:rsidRDefault="00A302E4" w:rsidP="00A302E4">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No</w:t>
            </w:r>
          </w:p>
          <w:p w14:paraId="3ADD6776" w14:textId="77777777" w:rsidR="00A302E4" w:rsidRPr="00C07835" w:rsidRDefault="00A302E4" w:rsidP="00A302E4">
            <w:pPr>
              <w:spacing w:after="60"/>
              <w:rPr>
                <w:rFonts w:ascii="Times New Roman" w:hAnsi="Times New Roman" w:cs="Times New Roman"/>
                <w:sz w:val="24"/>
                <w:szCs w:val="24"/>
              </w:rPr>
            </w:pPr>
          </w:p>
          <w:p w14:paraId="5AD6EF82" w14:textId="77777777" w:rsidR="00A302E4" w:rsidRDefault="00A302E4" w:rsidP="00A302E4">
            <w:pPr>
              <w:spacing w:after="60"/>
              <w:rPr>
                <w:rFonts w:ascii="Times New Roman" w:hAnsi="Times New Roman" w:cs="Times New Roman"/>
                <w:sz w:val="24"/>
                <w:szCs w:val="24"/>
              </w:rPr>
            </w:pPr>
            <w:r w:rsidRPr="00C07835">
              <w:rPr>
                <w:rFonts w:ascii="Times New Roman" w:hAnsi="Times New Roman" w:cs="Times New Roman"/>
                <w:sz w:val="24"/>
                <w:szCs w:val="24"/>
              </w:rPr>
              <w:t>If ‘Yes’ identify all other parties involved, the parties</w:t>
            </w:r>
            <w:r w:rsidR="007909E9" w:rsidRPr="00C07835">
              <w:rPr>
                <w:rFonts w:ascii="Times New Roman" w:hAnsi="Times New Roman" w:cs="Times New Roman"/>
                <w:sz w:val="24"/>
                <w:szCs w:val="24"/>
              </w:rPr>
              <w:t>’</w:t>
            </w:r>
            <w:r w:rsidRPr="00C07835">
              <w:rPr>
                <w:rFonts w:ascii="Times New Roman" w:hAnsi="Times New Roman" w:cs="Times New Roman"/>
                <w:sz w:val="24"/>
                <w:szCs w:val="24"/>
              </w:rPr>
              <w:t xml:space="preserve"> location</w:t>
            </w:r>
            <w:r w:rsidR="007909E9" w:rsidRPr="00C07835">
              <w:rPr>
                <w:rFonts w:ascii="Times New Roman" w:hAnsi="Times New Roman" w:cs="Times New Roman"/>
                <w:sz w:val="24"/>
                <w:szCs w:val="24"/>
              </w:rPr>
              <w:t>(s)</w:t>
            </w:r>
            <w:r w:rsidRPr="00C07835">
              <w:rPr>
                <w:rFonts w:ascii="Times New Roman" w:hAnsi="Times New Roman" w:cs="Times New Roman"/>
                <w:sz w:val="24"/>
                <w:szCs w:val="24"/>
              </w:rPr>
              <w:t>, purpose of the onward transfer</w:t>
            </w:r>
            <w:r w:rsidR="007909E9" w:rsidRPr="00C07835">
              <w:rPr>
                <w:rFonts w:ascii="Times New Roman" w:hAnsi="Times New Roman" w:cs="Times New Roman"/>
                <w:sz w:val="24"/>
                <w:szCs w:val="24"/>
              </w:rPr>
              <w:t>(s)</w:t>
            </w:r>
            <w:r w:rsidRPr="00C07835">
              <w:rPr>
                <w:rFonts w:ascii="Times New Roman" w:hAnsi="Times New Roman" w:cs="Times New Roman"/>
                <w:sz w:val="24"/>
                <w:szCs w:val="24"/>
              </w:rPr>
              <w:t xml:space="preserve"> and mechanism</w:t>
            </w:r>
            <w:r w:rsidR="007909E9" w:rsidRPr="00C07835">
              <w:rPr>
                <w:rFonts w:ascii="Times New Roman" w:hAnsi="Times New Roman" w:cs="Times New Roman"/>
                <w:sz w:val="24"/>
                <w:szCs w:val="24"/>
              </w:rPr>
              <w:t>(s)</w:t>
            </w:r>
            <w:r w:rsidR="00376BD7">
              <w:rPr>
                <w:rFonts w:ascii="Times New Roman" w:hAnsi="Times New Roman" w:cs="Times New Roman"/>
                <w:sz w:val="24"/>
                <w:szCs w:val="24"/>
              </w:rPr>
              <w:t xml:space="preserve"> under Article 46 of the GDPR or </w:t>
            </w:r>
            <w:r w:rsidR="00A71691">
              <w:rPr>
                <w:rFonts w:ascii="Times New Roman" w:hAnsi="Times New Roman" w:cs="Times New Roman"/>
                <w:sz w:val="24"/>
                <w:szCs w:val="24"/>
              </w:rPr>
              <w:t>European Commission</w:t>
            </w:r>
            <w:r w:rsidR="00376BD7">
              <w:rPr>
                <w:rFonts w:ascii="Times New Roman" w:hAnsi="Times New Roman" w:cs="Times New Roman"/>
                <w:sz w:val="24"/>
                <w:szCs w:val="24"/>
              </w:rPr>
              <w:t xml:space="preserve"> ‘adequacy decisions’</w:t>
            </w:r>
            <w:r w:rsidRPr="00C07835">
              <w:rPr>
                <w:rFonts w:ascii="Times New Roman" w:hAnsi="Times New Roman" w:cs="Times New Roman"/>
                <w:sz w:val="24"/>
                <w:szCs w:val="24"/>
              </w:rPr>
              <w:t xml:space="preserve"> used</w:t>
            </w:r>
            <w:r w:rsidR="00376BD7">
              <w:rPr>
                <w:rFonts w:ascii="Times New Roman" w:hAnsi="Times New Roman" w:cs="Times New Roman"/>
                <w:sz w:val="24"/>
                <w:szCs w:val="24"/>
              </w:rPr>
              <w:t xml:space="preserve"> or relied upon</w:t>
            </w:r>
            <w:r w:rsidRPr="00C07835">
              <w:rPr>
                <w:rFonts w:ascii="Times New Roman" w:hAnsi="Times New Roman" w:cs="Times New Roman"/>
                <w:sz w:val="24"/>
                <w:szCs w:val="24"/>
              </w:rPr>
              <w:t xml:space="preserve"> to transfer data onwards</w:t>
            </w:r>
            <w:r w:rsidR="00376BD7">
              <w:rPr>
                <w:rFonts w:ascii="Times New Roman" w:hAnsi="Times New Roman" w:cs="Times New Roman"/>
                <w:sz w:val="24"/>
                <w:szCs w:val="24"/>
              </w:rPr>
              <w:t>.</w:t>
            </w:r>
          </w:p>
          <w:p w14:paraId="02AF3FAC" w14:textId="77777777" w:rsidR="00376BD7" w:rsidRDefault="00376BD7" w:rsidP="00A302E4">
            <w:pPr>
              <w:spacing w:after="60"/>
              <w:rPr>
                <w:rFonts w:ascii="Times New Roman" w:hAnsi="Times New Roman" w:cs="Times New Roman"/>
                <w:sz w:val="24"/>
                <w:szCs w:val="24"/>
              </w:rPr>
            </w:pPr>
          </w:p>
          <w:p w14:paraId="182A5D1D" w14:textId="77777777" w:rsidR="00376BD7" w:rsidRDefault="00376BD7" w:rsidP="00A302E4">
            <w:pPr>
              <w:spacing w:after="60"/>
              <w:rPr>
                <w:rFonts w:ascii="Times New Roman" w:hAnsi="Times New Roman" w:cs="Times New Roman"/>
                <w:sz w:val="24"/>
                <w:szCs w:val="24"/>
              </w:rPr>
            </w:pPr>
          </w:p>
          <w:p w14:paraId="2C42DAC9" w14:textId="77777777" w:rsidR="00376BD7" w:rsidRPr="00C07835" w:rsidRDefault="00376BD7" w:rsidP="00A302E4">
            <w:pPr>
              <w:spacing w:after="60"/>
              <w:rPr>
                <w:rFonts w:ascii="Times New Roman" w:hAnsi="Times New Roman" w:cs="Times New Roman"/>
                <w:sz w:val="24"/>
                <w:szCs w:val="24"/>
              </w:rPr>
            </w:pPr>
          </w:p>
          <w:p w14:paraId="1BD012CF" w14:textId="77777777" w:rsidR="002E1F44" w:rsidRPr="00C07835" w:rsidRDefault="002E1F44" w:rsidP="00A302E4">
            <w:pPr>
              <w:spacing w:after="60"/>
              <w:rPr>
                <w:rFonts w:ascii="Times New Roman" w:hAnsi="Times New Roman" w:cs="Times New Roman"/>
                <w:sz w:val="24"/>
                <w:szCs w:val="24"/>
              </w:rPr>
            </w:pPr>
          </w:p>
        </w:tc>
      </w:tr>
      <w:tr w:rsidR="002E1F44" w14:paraId="6A95C122" w14:textId="77777777" w:rsidTr="002E1F44">
        <w:tc>
          <w:tcPr>
            <w:tcW w:w="846" w:type="dxa"/>
            <w:shd w:val="clear" w:color="auto" w:fill="C5E0B3" w:themeFill="accent6" w:themeFillTint="66"/>
          </w:tcPr>
          <w:p w14:paraId="5BC3D8B4" w14:textId="77777777" w:rsidR="002E1F44" w:rsidRPr="008125B3" w:rsidRDefault="002E1F44" w:rsidP="002E1F44">
            <w:pPr>
              <w:rPr>
                <w:rFonts w:ascii="Times New Roman" w:hAnsi="Times New Roman" w:cs="Times New Roman"/>
                <w:sz w:val="12"/>
                <w:szCs w:val="12"/>
              </w:rPr>
            </w:pPr>
          </w:p>
          <w:p w14:paraId="035D60D0" w14:textId="77777777" w:rsidR="002E1F44" w:rsidRPr="008125B3" w:rsidRDefault="002E1F44" w:rsidP="002E1F44">
            <w:pPr>
              <w:rPr>
                <w:rFonts w:ascii="Times New Roman" w:hAnsi="Times New Roman" w:cs="Times New Roman"/>
                <w:sz w:val="24"/>
                <w:szCs w:val="24"/>
              </w:rPr>
            </w:pPr>
            <w:r>
              <w:rPr>
                <w:rFonts w:ascii="Times New Roman" w:hAnsi="Times New Roman" w:cs="Times New Roman"/>
                <w:sz w:val="24"/>
                <w:szCs w:val="24"/>
              </w:rPr>
              <w:t>3</w:t>
            </w:r>
            <w:r w:rsidRPr="008125B3">
              <w:rPr>
                <w:rFonts w:ascii="Times New Roman" w:hAnsi="Times New Roman" w:cs="Times New Roman"/>
                <w:sz w:val="24"/>
                <w:szCs w:val="24"/>
              </w:rPr>
              <w:t>.</w:t>
            </w:r>
          </w:p>
        </w:tc>
        <w:tc>
          <w:tcPr>
            <w:tcW w:w="9916" w:type="dxa"/>
            <w:gridSpan w:val="2"/>
            <w:shd w:val="clear" w:color="auto" w:fill="C5E0B3" w:themeFill="accent6" w:themeFillTint="66"/>
          </w:tcPr>
          <w:p w14:paraId="3057C2DC" w14:textId="77777777" w:rsidR="002E1F44" w:rsidRPr="008125B3" w:rsidRDefault="002E1F44" w:rsidP="002E1F44">
            <w:pPr>
              <w:rPr>
                <w:rFonts w:ascii="Times New Roman" w:hAnsi="Times New Roman" w:cs="Times New Roman"/>
                <w:b/>
                <w:sz w:val="12"/>
                <w:szCs w:val="12"/>
              </w:rPr>
            </w:pPr>
          </w:p>
          <w:p w14:paraId="31DB4DB6" w14:textId="77777777" w:rsidR="002E1F44" w:rsidRPr="008125B3" w:rsidRDefault="002E1F44" w:rsidP="002E1F44">
            <w:pPr>
              <w:rPr>
                <w:rFonts w:ascii="Times New Roman" w:hAnsi="Times New Roman" w:cs="Times New Roman"/>
                <w:b/>
                <w:sz w:val="24"/>
                <w:szCs w:val="24"/>
              </w:rPr>
            </w:pPr>
            <w:r>
              <w:rPr>
                <w:rFonts w:ascii="Times New Roman" w:hAnsi="Times New Roman" w:cs="Times New Roman"/>
                <w:b/>
                <w:sz w:val="24"/>
                <w:szCs w:val="24"/>
              </w:rPr>
              <w:t xml:space="preserve">Details of the </w:t>
            </w:r>
            <w:r w:rsidRPr="008125B3">
              <w:rPr>
                <w:rFonts w:ascii="Times New Roman" w:hAnsi="Times New Roman" w:cs="Times New Roman"/>
                <w:b/>
                <w:sz w:val="24"/>
                <w:szCs w:val="24"/>
              </w:rPr>
              <w:t>Data Transfer</w:t>
            </w:r>
          </w:p>
          <w:p w14:paraId="45410626" w14:textId="77777777" w:rsidR="002E1F44" w:rsidRPr="008125B3" w:rsidRDefault="002E1F44" w:rsidP="002E1F44">
            <w:pPr>
              <w:jc w:val="center"/>
              <w:rPr>
                <w:rFonts w:ascii="Times New Roman" w:hAnsi="Times New Roman" w:cs="Times New Roman"/>
                <w:b/>
                <w:sz w:val="12"/>
                <w:szCs w:val="12"/>
              </w:rPr>
            </w:pPr>
          </w:p>
        </w:tc>
      </w:tr>
      <w:tr w:rsidR="002E1F44" w14:paraId="4C6B2903" w14:textId="77777777" w:rsidTr="003C7917">
        <w:tc>
          <w:tcPr>
            <w:tcW w:w="846" w:type="dxa"/>
          </w:tcPr>
          <w:p w14:paraId="0E1F33AF" w14:textId="77777777" w:rsidR="002E1F44" w:rsidRPr="00C07835" w:rsidRDefault="002E1F44" w:rsidP="002E1F44">
            <w:pPr>
              <w:rPr>
                <w:rFonts w:ascii="Times New Roman" w:hAnsi="Times New Roman" w:cs="Times New Roman"/>
                <w:sz w:val="24"/>
                <w:szCs w:val="24"/>
              </w:rPr>
            </w:pPr>
            <w:r w:rsidRPr="00C07835">
              <w:rPr>
                <w:rFonts w:ascii="Times New Roman" w:hAnsi="Times New Roman" w:cs="Times New Roman"/>
                <w:sz w:val="24"/>
                <w:szCs w:val="24"/>
              </w:rPr>
              <w:t>3.1</w:t>
            </w:r>
          </w:p>
        </w:tc>
        <w:tc>
          <w:tcPr>
            <w:tcW w:w="4678" w:type="dxa"/>
          </w:tcPr>
          <w:p w14:paraId="5E0E7D7D" w14:textId="77777777" w:rsidR="002E1F44" w:rsidRPr="00C07835" w:rsidRDefault="002E1F4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What is the c</w:t>
            </w:r>
            <w:r w:rsidR="0087741D" w:rsidRPr="00C07835">
              <w:rPr>
                <w:rFonts w:ascii="Times New Roman" w:hAnsi="Times New Roman" w:cs="Times New Roman"/>
                <w:sz w:val="24"/>
                <w:szCs w:val="24"/>
              </w:rPr>
              <w:t xml:space="preserve">ontext and purpose of the data </w:t>
            </w:r>
            <w:r w:rsidRPr="00C07835">
              <w:rPr>
                <w:rFonts w:ascii="Times New Roman" w:hAnsi="Times New Roman" w:cs="Times New Roman"/>
                <w:sz w:val="24"/>
                <w:szCs w:val="24"/>
              </w:rPr>
              <w:t>transfer (e.g.</w:t>
            </w:r>
            <w:r w:rsidR="0087741D" w:rsidRPr="00C07835">
              <w:rPr>
                <w:rFonts w:ascii="Times New Roman" w:hAnsi="Times New Roman" w:cs="Times New Roman"/>
                <w:sz w:val="24"/>
                <w:szCs w:val="24"/>
              </w:rPr>
              <w:t xml:space="preserve"> IT support, storage, backup, </w:t>
            </w:r>
            <w:r w:rsidRPr="00C07835">
              <w:rPr>
                <w:rFonts w:ascii="Times New Roman" w:hAnsi="Times New Roman" w:cs="Times New Roman"/>
                <w:sz w:val="24"/>
                <w:szCs w:val="24"/>
              </w:rPr>
              <w:t>research, a</w:t>
            </w:r>
            <w:r w:rsidR="0087741D" w:rsidRPr="00C07835">
              <w:rPr>
                <w:rFonts w:ascii="Times New Roman" w:hAnsi="Times New Roman" w:cs="Times New Roman"/>
                <w:sz w:val="24"/>
                <w:szCs w:val="24"/>
              </w:rPr>
              <w:t xml:space="preserve">nalysis, marketing, compliance </w:t>
            </w:r>
            <w:r w:rsidRPr="00C07835">
              <w:rPr>
                <w:rFonts w:ascii="Times New Roman" w:hAnsi="Times New Roman" w:cs="Times New Roman"/>
                <w:sz w:val="24"/>
                <w:szCs w:val="24"/>
              </w:rPr>
              <w:t>with legal obligation)</w:t>
            </w:r>
            <w:r w:rsidR="007909E9" w:rsidRPr="00C07835">
              <w:rPr>
                <w:rFonts w:ascii="Times New Roman" w:hAnsi="Times New Roman" w:cs="Times New Roman"/>
                <w:sz w:val="24"/>
                <w:szCs w:val="24"/>
              </w:rPr>
              <w:t>?</w:t>
            </w:r>
          </w:p>
        </w:tc>
        <w:tc>
          <w:tcPr>
            <w:tcW w:w="5238" w:type="dxa"/>
          </w:tcPr>
          <w:p w14:paraId="6CF11819"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7836624D"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5966217A" w14:textId="77777777" w:rsidR="002E1F44" w:rsidRDefault="002E1F44" w:rsidP="002E1F44">
            <w:pPr>
              <w:pStyle w:val="Level1"/>
              <w:numPr>
                <w:ilvl w:val="0"/>
                <w:numId w:val="0"/>
              </w:numPr>
              <w:spacing w:after="60" w:line="240" w:lineRule="auto"/>
              <w:ind w:left="455" w:right="74" w:hanging="455"/>
              <w:jc w:val="left"/>
              <w:rPr>
                <w:rFonts w:ascii="Times New Roman" w:hAnsi="Times New Roman" w:cs="Times New Roman"/>
                <w:i/>
                <w:sz w:val="24"/>
                <w:szCs w:val="24"/>
              </w:rPr>
            </w:pPr>
          </w:p>
          <w:p w14:paraId="3E1F28C0" w14:textId="77777777" w:rsidR="002E1F44" w:rsidRPr="008125B3" w:rsidRDefault="002E1F44" w:rsidP="002E1F44">
            <w:pPr>
              <w:pStyle w:val="Level1"/>
              <w:numPr>
                <w:ilvl w:val="0"/>
                <w:numId w:val="0"/>
              </w:numPr>
              <w:spacing w:after="60" w:line="240" w:lineRule="auto"/>
              <w:ind w:right="74"/>
              <w:jc w:val="left"/>
              <w:rPr>
                <w:rFonts w:ascii="Times New Roman" w:hAnsi="Times New Roman" w:cs="Times New Roman"/>
                <w:i/>
                <w:sz w:val="24"/>
                <w:szCs w:val="24"/>
              </w:rPr>
            </w:pPr>
          </w:p>
        </w:tc>
      </w:tr>
      <w:tr w:rsidR="002E1F44" w14:paraId="1928AF44" w14:textId="77777777" w:rsidTr="003C7917">
        <w:tc>
          <w:tcPr>
            <w:tcW w:w="846" w:type="dxa"/>
          </w:tcPr>
          <w:p w14:paraId="46113B12" w14:textId="77777777" w:rsidR="002E1F44" w:rsidRDefault="002E1F44" w:rsidP="002E1F44">
            <w:pPr>
              <w:rPr>
                <w:rFonts w:ascii="Times New Roman" w:hAnsi="Times New Roman" w:cs="Times New Roman"/>
                <w:sz w:val="24"/>
                <w:szCs w:val="24"/>
              </w:rPr>
            </w:pPr>
            <w:r>
              <w:rPr>
                <w:rFonts w:ascii="Times New Roman" w:hAnsi="Times New Roman" w:cs="Times New Roman"/>
                <w:sz w:val="24"/>
                <w:szCs w:val="24"/>
              </w:rPr>
              <w:t>3.2</w:t>
            </w:r>
          </w:p>
        </w:tc>
        <w:tc>
          <w:tcPr>
            <w:tcW w:w="4678" w:type="dxa"/>
          </w:tcPr>
          <w:p w14:paraId="1E13F95B" w14:textId="77777777" w:rsidR="0087741D" w:rsidRDefault="002E1F44" w:rsidP="002E1F44">
            <w:pPr>
              <w:spacing w:after="60"/>
              <w:ind w:right="57"/>
              <w:rPr>
                <w:rFonts w:ascii="Times New Roman" w:hAnsi="Times New Roman" w:cs="Times New Roman"/>
                <w:sz w:val="24"/>
                <w:szCs w:val="24"/>
              </w:rPr>
            </w:pPr>
            <w:r>
              <w:rPr>
                <w:rFonts w:ascii="Times New Roman" w:hAnsi="Times New Roman" w:cs="Times New Roman"/>
                <w:sz w:val="24"/>
                <w:szCs w:val="24"/>
              </w:rPr>
              <w:t>What proce</w:t>
            </w:r>
            <w:r w:rsidR="0087741D">
              <w:rPr>
                <w:rFonts w:ascii="Times New Roman" w:hAnsi="Times New Roman" w:cs="Times New Roman"/>
                <w:sz w:val="24"/>
                <w:szCs w:val="24"/>
              </w:rPr>
              <w:t xml:space="preserve">ssing activities will the Data </w:t>
            </w:r>
            <w:r>
              <w:rPr>
                <w:rFonts w:ascii="Times New Roman" w:hAnsi="Times New Roman" w:cs="Times New Roman"/>
                <w:sz w:val="24"/>
                <w:szCs w:val="24"/>
              </w:rPr>
              <w:t>Importer under</w:t>
            </w:r>
            <w:r w:rsidR="0087741D">
              <w:rPr>
                <w:rFonts w:ascii="Times New Roman" w:hAnsi="Times New Roman" w:cs="Times New Roman"/>
                <w:sz w:val="24"/>
                <w:szCs w:val="24"/>
              </w:rPr>
              <w:t>take on the personal data once</w:t>
            </w:r>
          </w:p>
          <w:p w14:paraId="7F51ED66" w14:textId="77777777" w:rsidR="002E1F44" w:rsidRDefault="002E1F44" w:rsidP="002E1F44">
            <w:pPr>
              <w:spacing w:after="60"/>
              <w:ind w:right="57"/>
              <w:rPr>
                <w:rFonts w:ascii="Times New Roman" w:hAnsi="Times New Roman" w:cs="Times New Roman"/>
                <w:sz w:val="24"/>
                <w:szCs w:val="24"/>
              </w:rPr>
            </w:pPr>
            <w:r>
              <w:rPr>
                <w:rFonts w:ascii="Times New Roman" w:hAnsi="Times New Roman" w:cs="Times New Roman"/>
                <w:sz w:val="24"/>
                <w:szCs w:val="24"/>
              </w:rPr>
              <w:t>it is transferred</w:t>
            </w:r>
            <w:r w:rsidR="007909E9">
              <w:rPr>
                <w:rFonts w:ascii="Times New Roman" w:hAnsi="Times New Roman" w:cs="Times New Roman"/>
                <w:sz w:val="24"/>
                <w:szCs w:val="24"/>
              </w:rPr>
              <w:t>?</w:t>
            </w:r>
          </w:p>
          <w:p w14:paraId="050D5DFD" w14:textId="77777777" w:rsidR="007909E9" w:rsidRDefault="007909E9" w:rsidP="002E1F44">
            <w:pPr>
              <w:spacing w:after="60"/>
              <w:ind w:right="57"/>
              <w:rPr>
                <w:rFonts w:ascii="Times New Roman" w:hAnsi="Times New Roman" w:cs="Times New Roman"/>
                <w:sz w:val="24"/>
                <w:szCs w:val="24"/>
              </w:rPr>
            </w:pPr>
          </w:p>
        </w:tc>
        <w:tc>
          <w:tcPr>
            <w:tcW w:w="5238" w:type="dxa"/>
          </w:tcPr>
          <w:p w14:paraId="6CDB772B" w14:textId="77777777" w:rsidR="002E1F44" w:rsidRDefault="002E1F44" w:rsidP="002E1F44">
            <w:pPr>
              <w:spacing w:after="60"/>
              <w:rPr>
                <w:rFonts w:ascii="Segoe UI Symbol" w:hAnsi="Segoe UI Symbol" w:cs="Segoe UI Symbol"/>
                <w:color w:val="000000" w:themeColor="text1"/>
                <w:sz w:val="24"/>
                <w:szCs w:val="24"/>
              </w:rPr>
            </w:pPr>
          </w:p>
          <w:p w14:paraId="3A7798AB" w14:textId="77777777" w:rsidR="002E1F44" w:rsidRPr="004A5759" w:rsidRDefault="002E1F44" w:rsidP="002E1F44">
            <w:pPr>
              <w:spacing w:after="60"/>
              <w:rPr>
                <w:rFonts w:ascii="Segoe UI Symbol" w:hAnsi="Segoe UI Symbol" w:cs="Segoe UI Symbol"/>
                <w:color w:val="000000" w:themeColor="text1"/>
                <w:sz w:val="24"/>
                <w:szCs w:val="24"/>
              </w:rPr>
            </w:pPr>
          </w:p>
        </w:tc>
      </w:tr>
      <w:tr w:rsidR="002E1F44" w14:paraId="5F4743B5" w14:textId="77777777" w:rsidTr="003C7917">
        <w:tc>
          <w:tcPr>
            <w:tcW w:w="846" w:type="dxa"/>
          </w:tcPr>
          <w:p w14:paraId="48D880B2" w14:textId="77777777" w:rsidR="002E1F44" w:rsidRDefault="002E1F44" w:rsidP="002E1F44">
            <w:pPr>
              <w:rPr>
                <w:rFonts w:ascii="Times New Roman" w:hAnsi="Times New Roman" w:cs="Times New Roman"/>
                <w:sz w:val="24"/>
                <w:szCs w:val="24"/>
              </w:rPr>
            </w:pPr>
            <w:r>
              <w:rPr>
                <w:rFonts w:ascii="Times New Roman" w:hAnsi="Times New Roman" w:cs="Times New Roman"/>
                <w:sz w:val="24"/>
                <w:szCs w:val="24"/>
              </w:rPr>
              <w:t>3.3</w:t>
            </w:r>
          </w:p>
        </w:tc>
        <w:tc>
          <w:tcPr>
            <w:tcW w:w="4678" w:type="dxa"/>
          </w:tcPr>
          <w:p w14:paraId="34CE00F6" w14:textId="77777777" w:rsidR="002E1F44" w:rsidRPr="00C07835" w:rsidRDefault="002E1F44" w:rsidP="0087741D">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What categories of personal data ar</w:t>
            </w:r>
            <w:r w:rsidR="0087741D" w:rsidRPr="00C07835">
              <w:rPr>
                <w:rFonts w:ascii="Times New Roman" w:hAnsi="Times New Roman" w:cs="Times New Roman"/>
                <w:sz w:val="24"/>
                <w:szCs w:val="24"/>
              </w:rPr>
              <w:t xml:space="preserve">e </w:t>
            </w:r>
            <w:r w:rsidRPr="00C07835">
              <w:rPr>
                <w:rFonts w:ascii="Times New Roman" w:hAnsi="Times New Roman" w:cs="Times New Roman"/>
                <w:sz w:val="24"/>
                <w:szCs w:val="24"/>
              </w:rPr>
              <w:t xml:space="preserve">transferred </w:t>
            </w:r>
            <w:r w:rsidR="0087741D" w:rsidRPr="00C07835">
              <w:rPr>
                <w:rFonts w:ascii="Times New Roman" w:hAnsi="Times New Roman" w:cs="Times New Roman"/>
                <w:sz w:val="24"/>
                <w:szCs w:val="24"/>
              </w:rPr>
              <w:t xml:space="preserve">(e.g. HR data, financial data, </w:t>
            </w:r>
            <w:r w:rsidRPr="00C07835">
              <w:rPr>
                <w:rFonts w:ascii="Times New Roman" w:hAnsi="Times New Roman" w:cs="Times New Roman"/>
                <w:sz w:val="24"/>
                <w:szCs w:val="24"/>
              </w:rPr>
              <w:t>survey data, training data, audit data etc.)?</w:t>
            </w:r>
          </w:p>
          <w:p w14:paraId="5E079E1B" w14:textId="77777777" w:rsidR="007909E9" w:rsidRPr="008125B3" w:rsidRDefault="007909E9" w:rsidP="0087741D">
            <w:pPr>
              <w:spacing w:after="60"/>
              <w:ind w:left="57" w:right="57"/>
              <w:rPr>
                <w:rFonts w:ascii="Times New Roman" w:hAnsi="Times New Roman" w:cs="Times New Roman"/>
                <w:sz w:val="24"/>
                <w:szCs w:val="24"/>
              </w:rPr>
            </w:pPr>
          </w:p>
        </w:tc>
        <w:tc>
          <w:tcPr>
            <w:tcW w:w="5238" w:type="dxa"/>
          </w:tcPr>
          <w:p w14:paraId="6549493F" w14:textId="77777777" w:rsidR="002E1F44" w:rsidRDefault="002E1F44" w:rsidP="002E1F44">
            <w:pPr>
              <w:spacing w:after="60"/>
              <w:rPr>
                <w:rFonts w:ascii="Segoe UI Symbol" w:hAnsi="Segoe UI Symbol" w:cs="Segoe UI Symbol"/>
                <w:sz w:val="24"/>
                <w:szCs w:val="24"/>
              </w:rPr>
            </w:pPr>
          </w:p>
          <w:p w14:paraId="478BF51D" w14:textId="77777777" w:rsidR="002E1F44" w:rsidRPr="008125B3" w:rsidRDefault="002E1F44" w:rsidP="002E1F44">
            <w:pPr>
              <w:spacing w:after="60"/>
              <w:rPr>
                <w:rFonts w:ascii="Segoe UI Symbol" w:hAnsi="Segoe UI Symbol" w:cs="Segoe UI Symbol"/>
                <w:sz w:val="24"/>
                <w:szCs w:val="24"/>
              </w:rPr>
            </w:pPr>
          </w:p>
        </w:tc>
      </w:tr>
      <w:tr w:rsidR="00533B19" w14:paraId="07AB0568" w14:textId="77777777" w:rsidTr="003C7917">
        <w:tc>
          <w:tcPr>
            <w:tcW w:w="846" w:type="dxa"/>
          </w:tcPr>
          <w:p w14:paraId="4BFD5F5A"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3.4</w:t>
            </w:r>
          </w:p>
        </w:tc>
        <w:tc>
          <w:tcPr>
            <w:tcW w:w="4678" w:type="dxa"/>
          </w:tcPr>
          <w:p w14:paraId="523FEF6A" w14:textId="77777777" w:rsidR="00533B19" w:rsidRPr="008125B3" w:rsidRDefault="00533B19" w:rsidP="00533B19">
            <w:pPr>
              <w:spacing w:after="60"/>
              <w:ind w:right="57"/>
              <w:rPr>
                <w:rFonts w:ascii="Times New Roman" w:hAnsi="Times New Roman" w:cs="Times New Roman"/>
                <w:sz w:val="24"/>
                <w:szCs w:val="24"/>
              </w:rPr>
            </w:pPr>
            <w:r>
              <w:rPr>
                <w:rFonts w:ascii="Times New Roman" w:hAnsi="Times New Roman" w:cs="Times New Roman"/>
                <w:sz w:val="24"/>
                <w:szCs w:val="24"/>
              </w:rPr>
              <w:t>Will special categories of personal data be transferred?</w:t>
            </w:r>
          </w:p>
        </w:tc>
        <w:tc>
          <w:tcPr>
            <w:tcW w:w="5238" w:type="dxa"/>
          </w:tcPr>
          <w:p w14:paraId="79D088AD"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50184683"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4E55FE8F" w14:textId="77777777" w:rsidR="00533B19" w:rsidRPr="006B2DC0" w:rsidRDefault="00533B19" w:rsidP="00533B19">
            <w:pPr>
              <w:spacing w:after="60"/>
              <w:rPr>
                <w:rFonts w:ascii="Times New Roman" w:hAnsi="Times New Roman" w:cs="Times New Roman"/>
                <w:sz w:val="24"/>
                <w:szCs w:val="24"/>
              </w:rPr>
            </w:pPr>
          </w:p>
          <w:p w14:paraId="54138E29"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 xml:space="preserve">If ‘Yes’ specify types of special categories of </w:t>
            </w:r>
          </w:p>
          <w:p w14:paraId="0D41AF69"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personal data.</w:t>
            </w:r>
          </w:p>
          <w:p w14:paraId="2BF313EE" w14:textId="77777777" w:rsidR="00533B19" w:rsidRPr="004640E4" w:rsidRDefault="00533B19" w:rsidP="00533B19">
            <w:pPr>
              <w:spacing w:after="60"/>
              <w:rPr>
                <w:rFonts w:ascii="Times New Roman" w:hAnsi="Times New Roman" w:cs="Times New Roman"/>
                <w:color w:val="000000" w:themeColor="text1"/>
                <w:sz w:val="24"/>
                <w:szCs w:val="24"/>
              </w:rPr>
            </w:pPr>
          </w:p>
          <w:p w14:paraId="27506190"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Racial or ethnic origin</w:t>
            </w:r>
          </w:p>
          <w:p w14:paraId="51BB8B75"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Political opinions</w:t>
            </w:r>
          </w:p>
          <w:p w14:paraId="22E1DF8C"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Religious or philosophical beliefs</w:t>
            </w:r>
          </w:p>
          <w:p w14:paraId="4E49C1BE"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Trade union membership</w:t>
            </w:r>
          </w:p>
          <w:p w14:paraId="7E9A8597"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Genetic data</w:t>
            </w:r>
          </w:p>
          <w:p w14:paraId="0903DD75"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Biometric data for the purpose of uniquely </w:t>
            </w:r>
          </w:p>
          <w:p w14:paraId="74537EAF"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Times New Roman" w:hAnsi="Times New Roman" w:cs="Times New Roman"/>
                <w:color w:val="000000" w:themeColor="text1"/>
                <w:sz w:val="24"/>
                <w:szCs w:val="24"/>
              </w:rPr>
              <w:t xml:space="preserve">     identifying a natural person</w:t>
            </w:r>
          </w:p>
          <w:p w14:paraId="422FEDB8" w14:textId="77777777" w:rsidR="00533B19" w:rsidRPr="004640E4"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Health data</w:t>
            </w:r>
          </w:p>
          <w:p w14:paraId="43BF8648" w14:textId="77777777" w:rsidR="00533B19" w:rsidRDefault="00533B19" w:rsidP="00533B19">
            <w:pPr>
              <w:spacing w:after="60"/>
              <w:rPr>
                <w:rFonts w:ascii="Times New Roman" w:hAnsi="Times New Roman" w:cs="Times New Roman"/>
                <w:color w:val="000000" w:themeColor="text1"/>
                <w:sz w:val="24"/>
                <w:szCs w:val="24"/>
              </w:rPr>
            </w:pPr>
            <w:r w:rsidRPr="004640E4">
              <w:rPr>
                <w:rFonts w:ascii="Segoe UI Symbol" w:hAnsi="Segoe UI Symbol" w:cs="Segoe UI Symbol"/>
                <w:color w:val="000000" w:themeColor="text1"/>
                <w:sz w:val="24"/>
                <w:szCs w:val="24"/>
              </w:rPr>
              <w:t>☐</w:t>
            </w:r>
            <w:r w:rsidRPr="004640E4">
              <w:rPr>
                <w:rFonts w:ascii="Times New Roman" w:hAnsi="Times New Roman" w:cs="Times New Roman"/>
                <w:color w:val="000000" w:themeColor="text1"/>
                <w:sz w:val="24"/>
                <w:szCs w:val="24"/>
              </w:rPr>
              <w:t xml:space="preserve"> Sex life or sexual orientation</w:t>
            </w:r>
          </w:p>
          <w:p w14:paraId="258F5B37" w14:textId="77777777" w:rsidR="00C07835" w:rsidRPr="006B2DC0" w:rsidRDefault="00C07835" w:rsidP="00533B19">
            <w:pPr>
              <w:spacing w:after="60"/>
              <w:rPr>
                <w:rFonts w:ascii="Times New Roman" w:hAnsi="Times New Roman" w:cs="Times New Roman"/>
                <w:sz w:val="24"/>
                <w:szCs w:val="24"/>
              </w:rPr>
            </w:pPr>
          </w:p>
        </w:tc>
      </w:tr>
      <w:tr w:rsidR="00533B19" w14:paraId="249904AA" w14:textId="77777777" w:rsidTr="003C7917">
        <w:tc>
          <w:tcPr>
            <w:tcW w:w="846" w:type="dxa"/>
          </w:tcPr>
          <w:p w14:paraId="46FB11A4"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3.5</w:t>
            </w:r>
          </w:p>
        </w:tc>
        <w:tc>
          <w:tcPr>
            <w:tcW w:w="4678" w:type="dxa"/>
          </w:tcPr>
          <w:p w14:paraId="28E09686" w14:textId="77777777" w:rsidR="00533B19" w:rsidRDefault="00533B19" w:rsidP="00533B19">
            <w:pPr>
              <w:spacing w:after="60"/>
              <w:ind w:right="57"/>
              <w:rPr>
                <w:rFonts w:ascii="Times New Roman" w:hAnsi="Times New Roman" w:cs="Times New Roman"/>
                <w:sz w:val="24"/>
                <w:szCs w:val="24"/>
              </w:rPr>
            </w:pPr>
            <w:r>
              <w:rPr>
                <w:rFonts w:ascii="Times New Roman" w:hAnsi="Times New Roman" w:cs="Times New Roman"/>
                <w:sz w:val="24"/>
                <w:szCs w:val="24"/>
              </w:rPr>
              <w:t>Will personal data relating to criminal convictions and offences be transferred?</w:t>
            </w:r>
          </w:p>
        </w:tc>
        <w:tc>
          <w:tcPr>
            <w:tcW w:w="5238" w:type="dxa"/>
          </w:tcPr>
          <w:p w14:paraId="4AFB5344"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26B64793"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39E48D26" w14:textId="77777777" w:rsidR="00533B19" w:rsidRDefault="00533B19" w:rsidP="00533B19">
            <w:pPr>
              <w:spacing w:after="60"/>
              <w:rPr>
                <w:rFonts w:ascii="Segoe UI Symbol" w:hAnsi="Segoe UI Symbol" w:cs="Segoe UI Symbol"/>
                <w:sz w:val="24"/>
                <w:szCs w:val="24"/>
              </w:rPr>
            </w:pPr>
          </w:p>
          <w:p w14:paraId="1007ADDE" w14:textId="77777777" w:rsidR="00533B19" w:rsidRDefault="00533B19" w:rsidP="00533B19">
            <w:pPr>
              <w:spacing w:after="60"/>
              <w:rPr>
                <w:rFonts w:ascii="Times New Roman" w:hAnsi="Times New Roman" w:cs="Times New Roman"/>
                <w:sz w:val="24"/>
                <w:szCs w:val="24"/>
              </w:rPr>
            </w:pPr>
            <w:r w:rsidRPr="006601E7">
              <w:rPr>
                <w:rFonts w:ascii="Times New Roman" w:hAnsi="Times New Roman" w:cs="Times New Roman"/>
                <w:sz w:val="24"/>
                <w:szCs w:val="24"/>
              </w:rPr>
              <w:t>If ‘Yes’</w:t>
            </w:r>
            <w:r>
              <w:rPr>
                <w:rFonts w:ascii="Times New Roman" w:hAnsi="Times New Roman" w:cs="Times New Roman"/>
                <w:sz w:val="24"/>
                <w:szCs w:val="24"/>
              </w:rPr>
              <w:t xml:space="preserve"> describe data involved</w:t>
            </w:r>
          </w:p>
          <w:p w14:paraId="11A5E6EE" w14:textId="77777777" w:rsidR="00C07835" w:rsidRPr="00A302E4" w:rsidRDefault="00C07835" w:rsidP="00533B19">
            <w:pPr>
              <w:spacing w:after="60"/>
              <w:rPr>
                <w:rFonts w:ascii="Times New Roman" w:hAnsi="Times New Roman" w:cs="Times New Roman"/>
                <w:sz w:val="24"/>
                <w:szCs w:val="24"/>
              </w:rPr>
            </w:pPr>
          </w:p>
        </w:tc>
      </w:tr>
      <w:tr w:rsidR="00533B19" w14:paraId="2479A819" w14:textId="77777777" w:rsidTr="003C7917">
        <w:tc>
          <w:tcPr>
            <w:tcW w:w="846" w:type="dxa"/>
          </w:tcPr>
          <w:p w14:paraId="1D54BD2F"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3.6</w:t>
            </w:r>
          </w:p>
          <w:p w14:paraId="56EA7C3B" w14:textId="77777777" w:rsidR="00533B19" w:rsidRDefault="00533B19" w:rsidP="00533B19">
            <w:pPr>
              <w:rPr>
                <w:rFonts w:ascii="Times New Roman" w:hAnsi="Times New Roman" w:cs="Times New Roman"/>
                <w:sz w:val="24"/>
                <w:szCs w:val="24"/>
              </w:rPr>
            </w:pPr>
          </w:p>
          <w:p w14:paraId="7CACBA32" w14:textId="77777777" w:rsidR="00533B19" w:rsidRPr="008125B3" w:rsidRDefault="00533B19" w:rsidP="00533B19">
            <w:pPr>
              <w:rPr>
                <w:rFonts w:ascii="Times New Roman" w:hAnsi="Times New Roman" w:cs="Times New Roman"/>
                <w:sz w:val="24"/>
                <w:szCs w:val="24"/>
              </w:rPr>
            </w:pPr>
          </w:p>
        </w:tc>
        <w:tc>
          <w:tcPr>
            <w:tcW w:w="4678" w:type="dxa"/>
          </w:tcPr>
          <w:p w14:paraId="09701D68" w14:textId="77777777" w:rsidR="00533B19" w:rsidRDefault="00533B19" w:rsidP="00533B19">
            <w:pPr>
              <w:spacing w:after="60"/>
              <w:ind w:left="57" w:right="57"/>
              <w:rPr>
                <w:rFonts w:ascii="Times New Roman" w:hAnsi="Times New Roman" w:cs="Times New Roman"/>
                <w:sz w:val="24"/>
                <w:szCs w:val="24"/>
              </w:rPr>
            </w:pPr>
            <w:r>
              <w:rPr>
                <w:rFonts w:ascii="Times New Roman" w:hAnsi="Times New Roman" w:cs="Times New Roman"/>
                <w:sz w:val="24"/>
                <w:szCs w:val="24"/>
              </w:rPr>
              <w:t>Who are the data subjects or classes of data subjects?</w:t>
            </w:r>
          </w:p>
          <w:p w14:paraId="2D24E165" w14:textId="77777777" w:rsidR="00533B19" w:rsidRDefault="00533B19" w:rsidP="00533B19">
            <w:pPr>
              <w:spacing w:after="60"/>
              <w:ind w:left="57" w:right="57"/>
              <w:rPr>
                <w:rFonts w:ascii="Times New Roman" w:hAnsi="Times New Roman" w:cs="Times New Roman"/>
                <w:sz w:val="24"/>
                <w:szCs w:val="24"/>
              </w:rPr>
            </w:pPr>
          </w:p>
          <w:p w14:paraId="7AE7A585" w14:textId="77777777" w:rsidR="00533B19" w:rsidRPr="008125B3" w:rsidRDefault="00533B19" w:rsidP="00533B19">
            <w:pPr>
              <w:spacing w:after="60"/>
              <w:ind w:left="57" w:right="57"/>
              <w:rPr>
                <w:rFonts w:ascii="Times New Roman" w:hAnsi="Times New Roman" w:cs="Times New Roman"/>
                <w:sz w:val="24"/>
                <w:szCs w:val="24"/>
              </w:rPr>
            </w:pPr>
          </w:p>
        </w:tc>
        <w:tc>
          <w:tcPr>
            <w:tcW w:w="5238" w:type="dxa"/>
          </w:tcPr>
          <w:p w14:paraId="23C5EA9C"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employees &amp; contractors</w:t>
            </w:r>
          </w:p>
          <w:p w14:paraId="7AC62FEB"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patients and services users</w:t>
            </w:r>
          </w:p>
          <w:p w14:paraId="202954FE"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suppliers </w:t>
            </w:r>
          </w:p>
          <w:p w14:paraId="6CAE493F"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employees &amp; contractors</w:t>
            </w:r>
          </w:p>
          <w:p w14:paraId="753CDFD5"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patients and service users</w:t>
            </w:r>
          </w:p>
          <w:p w14:paraId="3B63E896"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HSE funded agency suppliers</w:t>
            </w:r>
          </w:p>
          <w:p w14:paraId="02DEA63A" w14:textId="77777777" w:rsidR="00533B19" w:rsidRPr="00C07835" w:rsidRDefault="00533B19" w:rsidP="00533B19">
            <w:pPr>
              <w:spacing w:after="60"/>
              <w:rPr>
                <w:rFonts w:ascii="Times New Roman" w:hAnsi="Times New Roman" w:cs="Times New Roman"/>
                <w:sz w:val="24"/>
                <w:szCs w:val="24"/>
              </w:rPr>
            </w:pPr>
            <w:r w:rsidRPr="00C07835">
              <w:rPr>
                <w:rFonts w:ascii="Segoe UI Symbol" w:hAnsi="Segoe UI Symbol" w:cs="Segoe UI Symbol"/>
                <w:sz w:val="24"/>
                <w:szCs w:val="24"/>
              </w:rPr>
              <w:t>☐</w:t>
            </w:r>
            <w:bookmarkStart w:id="0" w:name="_GoBack"/>
            <w:bookmarkEnd w:id="0"/>
            <w:r w:rsidRPr="00C07835">
              <w:rPr>
                <w:rFonts w:ascii="Times New Roman" w:hAnsi="Times New Roman" w:cs="Times New Roman"/>
                <w:sz w:val="24"/>
                <w:szCs w:val="24"/>
              </w:rPr>
              <w:t xml:space="preserve"> Other </w:t>
            </w:r>
          </w:p>
          <w:p w14:paraId="329BA97B" w14:textId="77777777" w:rsidR="00533B19" w:rsidRPr="00C07835" w:rsidRDefault="00533B19" w:rsidP="00533B19">
            <w:pPr>
              <w:spacing w:after="60"/>
              <w:rPr>
                <w:rFonts w:ascii="Times New Roman" w:hAnsi="Times New Roman" w:cs="Times New Roman"/>
                <w:sz w:val="24"/>
                <w:szCs w:val="24"/>
              </w:rPr>
            </w:pPr>
          </w:p>
          <w:p w14:paraId="18C1A62F" w14:textId="77777777" w:rsidR="00533B19" w:rsidRPr="00C07835" w:rsidRDefault="00533B19" w:rsidP="00533B19">
            <w:pPr>
              <w:spacing w:after="60"/>
              <w:rPr>
                <w:rFonts w:ascii="Times New Roman" w:hAnsi="Times New Roman" w:cs="Times New Roman"/>
                <w:sz w:val="24"/>
                <w:szCs w:val="24"/>
              </w:rPr>
            </w:pPr>
            <w:r w:rsidRPr="00C07835">
              <w:rPr>
                <w:rFonts w:ascii="Times New Roman" w:hAnsi="Times New Roman" w:cs="Times New Roman"/>
                <w:sz w:val="24"/>
                <w:szCs w:val="24"/>
              </w:rPr>
              <w:t>If ‘Other’ describe data subjects</w:t>
            </w:r>
          </w:p>
          <w:p w14:paraId="58112307" w14:textId="77777777" w:rsidR="00C07835" w:rsidRPr="0075230E" w:rsidRDefault="00C07835" w:rsidP="00533B19">
            <w:pPr>
              <w:spacing w:after="60"/>
              <w:rPr>
                <w:rFonts w:ascii="Times New Roman" w:hAnsi="Times New Roman" w:cs="Times New Roman"/>
                <w:color w:val="FF0000"/>
                <w:sz w:val="24"/>
                <w:szCs w:val="24"/>
              </w:rPr>
            </w:pPr>
          </w:p>
        </w:tc>
      </w:tr>
      <w:tr w:rsidR="00533B19" w14:paraId="28C795E9" w14:textId="77777777" w:rsidTr="003C7917">
        <w:tc>
          <w:tcPr>
            <w:tcW w:w="846" w:type="dxa"/>
          </w:tcPr>
          <w:p w14:paraId="6A3297C7" w14:textId="77777777" w:rsidR="00533B19" w:rsidRPr="008125B3" w:rsidRDefault="00533B19" w:rsidP="00533B19">
            <w:pPr>
              <w:rPr>
                <w:rFonts w:ascii="Times New Roman" w:hAnsi="Times New Roman" w:cs="Times New Roman"/>
                <w:sz w:val="24"/>
                <w:szCs w:val="24"/>
              </w:rPr>
            </w:pPr>
            <w:r>
              <w:rPr>
                <w:rFonts w:ascii="Times New Roman" w:hAnsi="Times New Roman" w:cs="Times New Roman"/>
                <w:sz w:val="24"/>
                <w:szCs w:val="24"/>
              </w:rPr>
              <w:t>3.7</w:t>
            </w:r>
          </w:p>
        </w:tc>
        <w:tc>
          <w:tcPr>
            <w:tcW w:w="4678" w:type="dxa"/>
          </w:tcPr>
          <w:p w14:paraId="31F59F2F" w14:textId="77777777" w:rsidR="00533B19" w:rsidRPr="00651BFD" w:rsidRDefault="00533B19" w:rsidP="00533B19">
            <w:pPr>
              <w:spacing w:after="60"/>
              <w:ind w:right="57"/>
              <w:rPr>
                <w:rFonts w:ascii="Times New Roman" w:hAnsi="Times New Roman" w:cs="Times New Roman"/>
                <w:sz w:val="24"/>
                <w:szCs w:val="24"/>
              </w:rPr>
            </w:pPr>
            <w:r w:rsidRPr="00651BFD">
              <w:rPr>
                <w:rFonts w:ascii="Times New Roman" w:hAnsi="Times New Roman" w:cs="Times New Roman"/>
                <w:sz w:val="24"/>
                <w:szCs w:val="24"/>
              </w:rPr>
              <w:t>Will the p</w:t>
            </w:r>
            <w:r>
              <w:rPr>
                <w:rFonts w:ascii="Times New Roman" w:hAnsi="Times New Roman" w:cs="Times New Roman"/>
                <w:sz w:val="24"/>
                <w:szCs w:val="24"/>
              </w:rPr>
              <w:t xml:space="preserve">ersonal data of children and/or </w:t>
            </w:r>
            <w:r w:rsidRPr="00651BFD">
              <w:rPr>
                <w:rFonts w:ascii="Times New Roman" w:hAnsi="Times New Roman" w:cs="Times New Roman"/>
                <w:sz w:val="24"/>
                <w:szCs w:val="24"/>
              </w:rPr>
              <w:t>vulnerable data subjects be transferred?</w:t>
            </w:r>
          </w:p>
          <w:p w14:paraId="36E8AB83" w14:textId="77777777" w:rsidR="00533B19" w:rsidRPr="008125B3" w:rsidRDefault="00533B19" w:rsidP="00533B19">
            <w:pPr>
              <w:spacing w:after="60"/>
              <w:ind w:right="57"/>
              <w:rPr>
                <w:rFonts w:ascii="Times New Roman" w:hAnsi="Times New Roman" w:cs="Times New Roman"/>
                <w:sz w:val="24"/>
                <w:szCs w:val="24"/>
              </w:rPr>
            </w:pPr>
            <w:r w:rsidRPr="00651BFD">
              <w:rPr>
                <w:rFonts w:ascii="Times New Roman" w:hAnsi="Times New Roman" w:cs="Times New Roman"/>
                <w:sz w:val="24"/>
                <w:szCs w:val="24"/>
              </w:rPr>
              <w:tab/>
            </w:r>
          </w:p>
        </w:tc>
        <w:tc>
          <w:tcPr>
            <w:tcW w:w="5238" w:type="dxa"/>
          </w:tcPr>
          <w:p w14:paraId="1708877A"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Yes</w:t>
            </w:r>
          </w:p>
          <w:p w14:paraId="3D42005A" w14:textId="77777777" w:rsidR="00533B19" w:rsidRPr="006B2DC0" w:rsidRDefault="00533B19" w:rsidP="00533B19">
            <w:pPr>
              <w:spacing w:after="60"/>
              <w:rPr>
                <w:rFonts w:ascii="Times New Roman" w:hAnsi="Times New Roman" w:cs="Times New Roman"/>
                <w:sz w:val="24"/>
                <w:szCs w:val="24"/>
              </w:rPr>
            </w:pPr>
            <w:r w:rsidRPr="006B2DC0">
              <w:rPr>
                <w:rFonts w:ascii="Segoe UI Symbol" w:hAnsi="Segoe UI Symbol" w:cs="Segoe UI Symbol"/>
                <w:sz w:val="24"/>
                <w:szCs w:val="24"/>
              </w:rPr>
              <w:t>☐</w:t>
            </w:r>
            <w:r w:rsidRPr="006B2DC0">
              <w:rPr>
                <w:rFonts w:ascii="Times New Roman" w:hAnsi="Times New Roman" w:cs="Times New Roman"/>
                <w:sz w:val="24"/>
                <w:szCs w:val="24"/>
              </w:rPr>
              <w:t xml:space="preserve"> No</w:t>
            </w:r>
          </w:p>
          <w:p w14:paraId="28145CE8" w14:textId="77777777" w:rsidR="00533B19" w:rsidRDefault="00533B19" w:rsidP="00533B19">
            <w:pPr>
              <w:spacing w:after="60"/>
              <w:rPr>
                <w:rFonts w:ascii="Segoe UI Symbol" w:hAnsi="Segoe UI Symbol" w:cs="Segoe UI Symbol"/>
                <w:sz w:val="24"/>
                <w:szCs w:val="24"/>
              </w:rPr>
            </w:pPr>
          </w:p>
          <w:p w14:paraId="303CEC73" w14:textId="77777777" w:rsidR="00533B19" w:rsidRPr="006601E7" w:rsidRDefault="00533B19" w:rsidP="00533B19">
            <w:pPr>
              <w:spacing w:after="60"/>
              <w:rPr>
                <w:rFonts w:ascii="Times New Roman" w:hAnsi="Times New Roman" w:cs="Times New Roman"/>
                <w:sz w:val="24"/>
                <w:szCs w:val="24"/>
              </w:rPr>
            </w:pPr>
            <w:r w:rsidRPr="006601E7">
              <w:rPr>
                <w:rFonts w:ascii="Times New Roman" w:hAnsi="Times New Roman" w:cs="Times New Roman"/>
                <w:sz w:val="24"/>
                <w:szCs w:val="24"/>
              </w:rPr>
              <w:t>If ‘Yes’</w:t>
            </w:r>
            <w:r>
              <w:rPr>
                <w:rFonts w:ascii="Times New Roman" w:hAnsi="Times New Roman" w:cs="Times New Roman"/>
                <w:sz w:val="24"/>
                <w:szCs w:val="24"/>
              </w:rPr>
              <w:t xml:space="preserve"> Describe</w:t>
            </w:r>
          </w:p>
          <w:p w14:paraId="2C47CC26" w14:textId="77777777" w:rsidR="00533B19" w:rsidRDefault="00533B19" w:rsidP="00533B19">
            <w:pPr>
              <w:spacing w:after="60"/>
              <w:ind w:left="455" w:hanging="455"/>
              <w:rPr>
                <w:rFonts w:ascii="Times New Roman" w:hAnsi="Times New Roman" w:cs="Times New Roman"/>
                <w:i/>
                <w:sz w:val="24"/>
                <w:szCs w:val="24"/>
              </w:rPr>
            </w:pPr>
          </w:p>
          <w:p w14:paraId="596F9583" w14:textId="77777777" w:rsidR="00533B19" w:rsidRPr="008125B3" w:rsidRDefault="00533B19" w:rsidP="00533B19">
            <w:pPr>
              <w:spacing w:after="60"/>
              <w:ind w:left="455" w:hanging="455"/>
              <w:rPr>
                <w:rFonts w:ascii="Times New Roman" w:hAnsi="Times New Roman" w:cs="Times New Roman"/>
                <w:i/>
                <w:sz w:val="24"/>
                <w:szCs w:val="24"/>
              </w:rPr>
            </w:pPr>
          </w:p>
        </w:tc>
      </w:tr>
      <w:tr w:rsidR="00533B19" w14:paraId="6C3CDD44" w14:textId="77777777" w:rsidTr="003C7917">
        <w:tc>
          <w:tcPr>
            <w:tcW w:w="846" w:type="dxa"/>
          </w:tcPr>
          <w:p w14:paraId="0BCEE4E3" w14:textId="77777777" w:rsidR="00533B19" w:rsidRPr="008125B3" w:rsidRDefault="00533B19" w:rsidP="00533B19">
            <w:pPr>
              <w:rPr>
                <w:rFonts w:ascii="Times New Roman" w:hAnsi="Times New Roman" w:cs="Times New Roman"/>
                <w:sz w:val="24"/>
                <w:szCs w:val="24"/>
              </w:rPr>
            </w:pPr>
            <w:r>
              <w:rPr>
                <w:rFonts w:ascii="Times New Roman" w:hAnsi="Times New Roman" w:cs="Times New Roman"/>
                <w:sz w:val="24"/>
                <w:szCs w:val="24"/>
              </w:rPr>
              <w:t>3.8</w:t>
            </w:r>
          </w:p>
        </w:tc>
        <w:tc>
          <w:tcPr>
            <w:tcW w:w="4678" w:type="dxa"/>
          </w:tcPr>
          <w:p w14:paraId="1B2F98C2" w14:textId="77777777" w:rsidR="00533B19" w:rsidRPr="008125B3" w:rsidRDefault="00533B19" w:rsidP="00533B19">
            <w:pPr>
              <w:spacing w:after="60"/>
              <w:ind w:left="57" w:right="57"/>
              <w:rPr>
                <w:rFonts w:ascii="Times New Roman" w:hAnsi="Times New Roman" w:cs="Times New Roman"/>
                <w:sz w:val="24"/>
                <w:szCs w:val="24"/>
              </w:rPr>
            </w:pPr>
            <w:r w:rsidRPr="00651BFD">
              <w:rPr>
                <w:rFonts w:ascii="Times New Roman" w:hAnsi="Times New Roman" w:cs="Times New Roman"/>
                <w:sz w:val="24"/>
                <w:szCs w:val="24"/>
              </w:rPr>
              <w:t>Have the data subjects been notified</w:t>
            </w:r>
            <w:r>
              <w:rPr>
                <w:rFonts w:ascii="Times New Roman" w:hAnsi="Times New Roman" w:cs="Times New Roman"/>
                <w:sz w:val="24"/>
                <w:szCs w:val="24"/>
              </w:rPr>
              <w:t xml:space="preserve"> of the nature of the transfer (</w:t>
            </w:r>
            <w:r w:rsidRPr="00651BFD">
              <w:rPr>
                <w:rFonts w:ascii="Times New Roman" w:hAnsi="Times New Roman" w:cs="Times New Roman"/>
                <w:sz w:val="24"/>
                <w:szCs w:val="24"/>
              </w:rPr>
              <w:t>e.g. privacy statement, etc</w:t>
            </w:r>
            <w:r>
              <w:rPr>
                <w:rFonts w:ascii="Times New Roman" w:hAnsi="Times New Roman" w:cs="Times New Roman"/>
                <w:sz w:val="24"/>
                <w:szCs w:val="24"/>
              </w:rPr>
              <w:t>.)</w:t>
            </w:r>
            <w:r w:rsidRPr="00651BFD">
              <w:rPr>
                <w:rFonts w:ascii="Times New Roman" w:hAnsi="Times New Roman" w:cs="Times New Roman"/>
                <w:sz w:val="24"/>
                <w:szCs w:val="24"/>
              </w:rPr>
              <w:t>?</w:t>
            </w:r>
          </w:p>
        </w:tc>
        <w:tc>
          <w:tcPr>
            <w:tcW w:w="5238" w:type="dxa"/>
          </w:tcPr>
          <w:p w14:paraId="0C03F81D" w14:textId="77777777" w:rsidR="00533B19" w:rsidRPr="00651BFD" w:rsidRDefault="00533B19" w:rsidP="00533B19">
            <w:pPr>
              <w:spacing w:after="60"/>
              <w:rPr>
                <w:rFonts w:ascii="Times New Roman" w:hAnsi="Times New Roman" w:cs="Times New Roman"/>
                <w:color w:val="000000" w:themeColor="text1"/>
                <w:sz w:val="24"/>
                <w:szCs w:val="24"/>
              </w:rPr>
            </w:pPr>
            <w:r w:rsidRPr="00651BFD">
              <w:rPr>
                <w:rFonts w:ascii="Segoe UI Symbol" w:hAnsi="Segoe UI Symbol" w:cs="Segoe UI Symbol"/>
                <w:color w:val="000000" w:themeColor="text1"/>
                <w:sz w:val="24"/>
                <w:szCs w:val="24"/>
              </w:rPr>
              <w:t>☐</w:t>
            </w:r>
            <w:r w:rsidRPr="00651BFD">
              <w:rPr>
                <w:rFonts w:ascii="Times New Roman" w:hAnsi="Times New Roman" w:cs="Times New Roman"/>
                <w:color w:val="000000" w:themeColor="text1"/>
                <w:sz w:val="24"/>
                <w:szCs w:val="24"/>
              </w:rPr>
              <w:t xml:space="preserve"> Yes</w:t>
            </w:r>
          </w:p>
          <w:p w14:paraId="0F521567" w14:textId="77777777" w:rsidR="00533B19" w:rsidRPr="00651BFD" w:rsidRDefault="00533B19" w:rsidP="00533B19">
            <w:pPr>
              <w:spacing w:after="60"/>
              <w:rPr>
                <w:rFonts w:ascii="Times New Roman" w:hAnsi="Times New Roman" w:cs="Times New Roman"/>
                <w:color w:val="000000" w:themeColor="text1"/>
                <w:sz w:val="24"/>
                <w:szCs w:val="24"/>
              </w:rPr>
            </w:pPr>
            <w:r w:rsidRPr="00651BFD">
              <w:rPr>
                <w:rFonts w:ascii="Segoe UI Symbol" w:hAnsi="Segoe UI Symbol" w:cs="Segoe UI Symbol"/>
                <w:color w:val="000000" w:themeColor="text1"/>
                <w:sz w:val="24"/>
                <w:szCs w:val="24"/>
              </w:rPr>
              <w:t>☐</w:t>
            </w:r>
            <w:r w:rsidRPr="00651BFD">
              <w:rPr>
                <w:rFonts w:ascii="Times New Roman" w:hAnsi="Times New Roman" w:cs="Times New Roman"/>
                <w:color w:val="000000" w:themeColor="text1"/>
                <w:sz w:val="24"/>
                <w:szCs w:val="24"/>
              </w:rPr>
              <w:t xml:space="preserve"> No</w:t>
            </w:r>
          </w:p>
          <w:p w14:paraId="5B0BD1FB" w14:textId="77777777" w:rsidR="00533B19" w:rsidRPr="00651BFD" w:rsidRDefault="00533B19" w:rsidP="00533B19">
            <w:pPr>
              <w:spacing w:after="60"/>
              <w:rPr>
                <w:rFonts w:ascii="Times New Roman" w:hAnsi="Times New Roman" w:cs="Times New Roman"/>
                <w:color w:val="000000" w:themeColor="text1"/>
                <w:sz w:val="24"/>
                <w:szCs w:val="24"/>
              </w:rPr>
            </w:pPr>
          </w:p>
          <w:p w14:paraId="6F83618C" w14:textId="77777777" w:rsidR="00533B19" w:rsidRDefault="00533B19" w:rsidP="00533B19">
            <w:pPr>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‘Yes’ D</w:t>
            </w:r>
            <w:r w:rsidRPr="00651BFD">
              <w:rPr>
                <w:rFonts w:ascii="Times New Roman" w:hAnsi="Times New Roman" w:cs="Times New Roman"/>
                <w:color w:val="000000" w:themeColor="text1"/>
                <w:sz w:val="24"/>
                <w:szCs w:val="24"/>
              </w:rPr>
              <w:t>escribe</w:t>
            </w:r>
          </w:p>
          <w:p w14:paraId="1E42301F" w14:textId="77777777" w:rsidR="00C07835" w:rsidRPr="00615A83" w:rsidRDefault="00C07835" w:rsidP="00533B19">
            <w:pPr>
              <w:spacing w:after="60"/>
              <w:rPr>
                <w:rFonts w:ascii="Times New Roman" w:hAnsi="Times New Roman" w:cs="Times New Roman"/>
                <w:color w:val="000000" w:themeColor="text1"/>
                <w:sz w:val="24"/>
                <w:szCs w:val="24"/>
              </w:rPr>
            </w:pPr>
          </w:p>
        </w:tc>
      </w:tr>
      <w:tr w:rsidR="00533B19" w14:paraId="522DB2CC" w14:textId="77777777" w:rsidTr="003C7917">
        <w:tc>
          <w:tcPr>
            <w:tcW w:w="846" w:type="dxa"/>
          </w:tcPr>
          <w:p w14:paraId="760168E5" w14:textId="77777777" w:rsidR="00533B19" w:rsidRDefault="00533B19" w:rsidP="00533B19">
            <w:pPr>
              <w:rPr>
                <w:rFonts w:ascii="Times New Roman" w:hAnsi="Times New Roman" w:cs="Times New Roman"/>
                <w:sz w:val="24"/>
                <w:szCs w:val="24"/>
              </w:rPr>
            </w:pPr>
            <w:r>
              <w:rPr>
                <w:rFonts w:ascii="Times New Roman" w:hAnsi="Times New Roman" w:cs="Times New Roman"/>
                <w:sz w:val="24"/>
                <w:szCs w:val="24"/>
              </w:rPr>
              <w:t>3.9</w:t>
            </w:r>
          </w:p>
        </w:tc>
        <w:tc>
          <w:tcPr>
            <w:tcW w:w="4678" w:type="dxa"/>
          </w:tcPr>
          <w:p w14:paraId="2F220850" w14:textId="77777777" w:rsidR="00533B19" w:rsidRPr="00651BFD" w:rsidRDefault="00533B19" w:rsidP="00533B19">
            <w:pPr>
              <w:spacing w:after="60"/>
              <w:ind w:left="57" w:right="57"/>
              <w:rPr>
                <w:rFonts w:ascii="Times New Roman" w:hAnsi="Times New Roman" w:cs="Times New Roman"/>
                <w:sz w:val="24"/>
                <w:szCs w:val="24"/>
              </w:rPr>
            </w:pPr>
            <w:r>
              <w:rPr>
                <w:rFonts w:ascii="Times New Roman" w:hAnsi="Times New Roman" w:cs="Times New Roman"/>
                <w:sz w:val="24"/>
                <w:szCs w:val="24"/>
              </w:rPr>
              <w:t>What is the</w:t>
            </w:r>
            <w:r w:rsidR="00C07835">
              <w:rPr>
                <w:rFonts w:ascii="Times New Roman" w:hAnsi="Times New Roman" w:cs="Times New Roman"/>
                <w:sz w:val="24"/>
                <w:szCs w:val="24"/>
              </w:rPr>
              <w:t xml:space="preserve"> expected volume of personal data being t</w:t>
            </w:r>
            <w:r>
              <w:rPr>
                <w:rFonts w:ascii="Times New Roman" w:hAnsi="Times New Roman" w:cs="Times New Roman"/>
                <w:sz w:val="24"/>
                <w:szCs w:val="24"/>
              </w:rPr>
              <w:t>ransferred?</w:t>
            </w:r>
          </w:p>
        </w:tc>
        <w:tc>
          <w:tcPr>
            <w:tcW w:w="5238" w:type="dxa"/>
          </w:tcPr>
          <w:p w14:paraId="47A5A6ED" w14:textId="77777777" w:rsidR="00533B19" w:rsidRDefault="00533B19" w:rsidP="00533B19">
            <w:pPr>
              <w:spacing w:after="60"/>
              <w:rPr>
                <w:rFonts w:ascii="Segoe UI Symbol" w:hAnsi="Segoe UI Symbol" w:cs="Segoe UI Symbol"/>
                <w:color w:val="000000" w:themeColor="text1"/>
                <w:sz w:val="24"/>
                <w:szCs w:val="24"/>
              </w:rPr>
            </w:pPr>
          </w:p>
          <w:p w14:paraId="39019EFA" w14:textId="77777777" w:rsidR="00533B19" w:rsidRDefault="00533B19" w:rsidP="00533B19">
            <w:pPr>
              <w:spacing w:after="60"/>
              <w:rPr>
                <w:rFonts w:ascii="Segoe UI Symbol" w:hAnsi="Segoe UI Symbol" w:cs="Segoe UI Symbol"/>
                <w:color w:val="000000" w:themeColor="text1"/>
                <w:sz w:val="24"/>
                <w:szCs w:val="24"/>
              </w:rPr>
            </w:pPr>
          </w:p>
          <w:p w14:paraId="0E3C9E3C" w14:textId="77777777" w:rsidR="00533B19" w:rsidRDefault="00533B19" w:rsidP="00533B19">
            <w:pPr>
              <w:spacing w:after="60"/>
              <w:rPr>
                <w:rFonts w:ascii="Segoe UI Symbol" w:hAnsi="Segoe UI Symbol" w:cs="Segoe UI Symbol"/>
                <w:color w:val="000000" w:themeColor="text1"/>
                <w:sz w:val="24"/>
                <w:szCs w:val="24"/>
              </w:rPr>
            </w:pPr>
          </w:p>
          <w:p w14:paraId="468F2D3A" w14:textId="77777777" w:rsidR="00533B19" w:rsidRDefault="00533B19" w:rsidP="00533B19">
            <w:pPr>
              <w:spacing w:after="60"/>
              <w:rPr>
                <w:rFonts w:ascii="Segoe UI Symbol" w:hAnsi="Segoe UI Symbol" w:cs="Segoe UI Symbol"/>
                <w:color w:val="000000" w:themeColor="text1"/>
                <w:sz w:val="24"/>
                <w:szCs w:val="24"/>
              </w:rPr>
            </w:pPr>
          </w:p>
          <w:p w14:paraId="7DC6E435" w14:textId="77777777" w:rsidR="00533B19" w:rsidRPr="00651BFD" w:rsidRDefault="00533B19" w:rsidP="00533B19">
            <w:pPr>
              <w:spacing w:after="60"/>
              <w:rPr>
                <w:rFonts w:ascii="Segoe UI Symbol" w:hAnsi="Segoe UI Symbol" w:cs="Segoe UI Symbol"/>
                <w:color w:val="000000" w:themeColor="text1"/>
                <w:sz w:val="24"/>
                <w:szCs w:val="24"/>
              </w:rPr>
            </w:pPr>
          </w:p>
        </w:tc>
      </w:tr>
      <w:tr w:rsidR="007E0FDE" w14:paraId="34D822AC" w14:textId="77777777" w:rsidTr="003C7917">
        <w:tc>
          <w:tcPr>
            <w:tcW w:w="846" w:type="dxa"/>
          </w:tcPr>
          <w:p w14:paraId="3E312B87"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3.10</w:t>
            </w:r>
          </w:p>
        </w:tc>
        <w:tc>
          <w:tcPr>
            <w:tcW w:w="4678" w:type="dxa"/>
          </w:tcPr>
          <w:p w14:paraId="7F5FB7B3" w14:textId="77777777" w:rsidR="007E0FDE" w:rsidRDefault="007E0FDE" w:rsidP="007E0FDE">
            <w:pPr>
              <w:spacing w:after="60"/>
              <w:ind w:left="57" w:right="57"/>
              <w:rPr>
                <w:rFonts w:ascii="Times New Roman" w:hAnsi="Times New Roman" w:cs="Times New Roman"/>
                <w:sz w:val="24"/>
                <w:szCs w:val="24"/>
              </w:rPr>
            </w:pPr>
            <w:r>
              <w:rPr>
                <w:rFonts w:ascii="Times New Roman" w:hAnsi="Times New Roman" w:cs="Times New Roman"/>
                <w:sz w:val="24"/>
                <w:szCs w:val="24"/>
              </w:rPr>
              <w:t>What is the HSE’s lawful basis for processing the personal data (by transferring it) under Article 6 of the GDPR?</w:t>
            </w:r>
          </w:p>
        </w:tc>
        <w:tc>
          <w:tcPr>
            <w:tcW w:w="5238" w:type="dxa"/>
          </w:tcPr>
          <w:p w14:paraId="1617502E"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Consent of the data subject(s)</w:t>
            </w:r>
          </w:p>
          <w:p w14:paraId="176BBBD2"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Performance of a contract with the data subject  or to take steps pre-contractual steps at the data subject’s request </w:t>
            </w:r>
          </w:p>
          <w:p w14:paraId="1B11293B"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Compliance with a legal obligation</w:t>
            </w:r>
          </w:p>
          <w:p w14:paraId="7C6769E9"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Protection of the vital interests of an individual</w:t>
            </w:r>
          </w:p>
          <w:p w14:paraId="265719AA" w14:textId="77777777" w:rsidR="007E0FDE" w:rsidRPr="007E0FDE" w:rsidRDefault="007E0FDE" w:rsidP="007E0FDE">
            <w:pPr>
              <w:spacing w:after="60"/>
              <w:rPr>
                <w:rFonts w:ascii="Times New Roman" w:hAnsi="Times New Roman"/>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Performance of a task carried out in the public interest or in the exercise of official authority </w:t>
            </w:r>
          </w:p>
          <w:p w14:paraId="768058B6" w14:textId="77777777" w:rsidR="007E0FDE" w:rsidRPr="007E0FDE" w:rsidRDefault="007E0FDE" w:rsidP="007E0FDE">
            <w:pPr>
              <w:spacing w:after="60"/>
              <w:rPr>
                <w:rFonts w:ascii="Segoe UI Symbol" w:hAnsi="Segoe UI Symbol" w:cs="Segoe UI Symbol"/>
                <w:sz w:val="24"/>
                <w:szCs w:val="24"/>
              </w:rPr>
            </w:pPr>
            <w:r w:rsidRPr="007E0FDE">
              <w:rPr>
                <w:rFonts w:ascii="Segoe UI Symbol" w:hAnsi="Segoe UI Symbol" w:cs="Segoe UI Symbol"/>
                <w:sz w:val="24"/>
                <w:szCs w:val="24"/>
              </w:rPr>
              <w:t>☐</w:t>
            </w:r>
            <w:r w:rsidRPr="007E0FDE">
              <w:rPr>
                <w:rFonts w:ascii="Times New Roman" w:hAnsi="Times New Roman"/>
                <w:sz w:val="24"/>
                <w:szCs w:val="24"/>
              </w:rPr>
              <w:t xml:space="preserve"> In the legitimate interests of the HSE (except where those interests are overridden by the interests or rights and freedoms of the data subject and </w:t>
            </w:r>
            <w:r w:rsidRPr="007E0FDE">
              <w:rPr>
                <w:rFonts w:ascii="Times New Roman" w:hAnsi="Times New Roman"/>
                <w:sz w:val="24"/>
                <w:szCs w:val="24"/>
                <w:u w:val="single"/>
              </w:rPr>
              <w:t>never</w:t>
            </w:r>
            <w:r w:rsidRPr="007E0FDE">
              <w:rPr>
                <w:rFonts w:ascii="Times New Roman" w:hAnsi="Times New Roman"/>
                <w:sz w:val="24"/>
                <w:szCs w:val="24"/>
              </w:rPr>
              <w:t xml:space="preserve"> where processing is carried out in the performance of its tasks as a public authority)</w:t>
            </w:r>
          </w:p>
        </w:tc>
      </w:tr>
      <w:tr w:rsidR="007E0FDE" w14:paraId="387F5E4D" w14:textId="77777777" w:rsidTr="003C7917">
        <w:tc>
          <w:tcPr>
            <w:tcW w:w="846" w:type="dxa"/>
          </w:tcPr>
          <w:p w14:paraId="62B6F155" w14:textId="77777777" w:rsidR="007E0FDE" w:rsidRDefault="00A54696" w:rsidP="007E0FDE">
            <w:pPr>
              <w:rPr>
                <w:rFonts w:ascii="Times New Roman" w:hAnsi="Times New Roman" w:cs="Times New Roman"/>
                <w:sz w:val="24"/>
                <w:szCs w:val="24"/>
              </w:rPr>
            </w:pPr>
            <w:r>
              <w:rPr>
                <w:rFonts w:ascii="Times New Roman" w:hAnsi="Times New Roman" w:cs="Times New Roman"/>
                <w:sz w:val="24"/>
                <w:szCs w:val="24"/>
              </w:rPr>
              <w:t>3.11</w:t>
            </w:r>
          </w:p>
        </w:tc>
        <w:tc>
          <w:tcPr>
            <w:tcW w:w="4678" w:type="dxa"/>
          </w:tcPr>
          <w:p w14:paraId="1F552358"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Where the transfer includes special</w:t>
            </w:r>
          </w:p>
          <w:p w14:paraId="2039BC2A"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category data or data concerning</w:t>
            </w:r>
          </w:p>
          <w:p w14:paraId="61F45EE3"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criminal convictions or offences (see</w:t>
            </w:r>
          </w:p>
          <w:p w14:paraId="76E91D2D"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2.4 above), which condition(s) apply</w:t>
            </w:r>
          </w:p>
          <w:p w14:paraId="68114B12"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under Articles 9 or 10 of the GDPR</w:t>
            </w:r>
          </w:p>
          <w:p w14:paraId="7A79D7F6" w14:textId="77777777" w:rsidR="007E0FDE" w:rsidRPr="00366B65"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and/or, if applicable, Chapter 2, Part</w:t>
            </w:r>
          </w:p>
          <w:p w14:paraId="2F5F042F" w14:textId="77777777" w:rsidR="007E0FDE" w:rsidRDefault="007E0FDE" w:rsidP="007E0FDE">
            <w:pPr>
              <w:spacing w:after="60"/>
              <w:ind w:left="57" w:right="57"/>
              <w:rPr>
                <w:rFonts w:ascii="Times New Roman" w:hAnsi="Times New Roman" w:cs="Times New Roman"/>
                <w:sz w:val="24"/>
                <w:szCs w:val="24"/>
              </w:rPr>
            </w:pPr>
            <w:r w:rsidRPr="00366B65">
              <w:rPr>
                <w:rFonts w:ascii="Times New Roman" w:hAnsi="Times New Roman" w:cs="Times New Roman"/>
                <w:sz w:val="24"/>
                <w:szCs w:val="24"/>
              </w:rPr>
              <w:t>3 of the Data Protection Act 2018?</w:t>
            </w:r>
          </w:p>
        </w:tc>
        <w:tc>
          <w:tcPr>
            <w:tcW w:w="5238" w:type="dxa"/>
          </w:tcPr>
          <w:p w14:paraId="6B3056D0" w14:textId="77777777" w:rsidR="007E0FDE" w:rsidRPr="00366B65" w:rsidRDefault="007E0FDE" w:rsidP="007E0FDE">
            <w:pPr>
              <w:spacing w:after="60"/>
              <w:rPr>
                <w:rFonts w:ascii="Segoe UI Symbol" w:hAnsi="Segoe UI Symbol" w:cs="Segoe UI Symbol"/>
                <w:color w:val="000000" w:themeColor="text1"/>
                <w:sz w:val="24"/>
                <w:szCs w:val="24"/>
              </w:rPr>
            </w:pPr>
          </w:p>
        </w:tc>
      </w:tr>
      <w:tr w:rsidR="007E0FDE" w14:paraId="5A6D4A91" w14:textId="77777777" w:rsidTr="00533B19">
        <w:tc>
          <w:tcPr>
            <w:tcW w:w="846" w:type="dxa"/>
            <w:shd w:val="clear" w:color="auto" w:fill="E2EFD9" w:themeFill="accent6" w:themeFillTint="33"/>
          </w:tcPr>
          <w:p w14:paraId="095189D1" w14:textId="77777777" w:rsidR="007E0FDE" w:rsidRPr="008125B3" w:rsidRDefault="007E0FDE" w:rsidP="007E0FDE">
            <w:pPr>
              <w:rPr>
                <w:rFonts w:ascii="Times New Roman" w:hAnsi="Times New Roman" w:cs="Times New Roman"/>
                <w:sz w:val="12"/>
                <w:szCs w:val="12"/>
              </w:rPr>
            </w:pPr>
          </w:p>
          <w:p w14:paraId="1820C23D" w14:textId="77777777" w:rsidR="007E0FDE" w:rsidRPr="008125B3" w:rsidRDefault="007E0FDE" w:rsidP="007E0FDE">
            <w:pPr>
              <w:rPr>
                <w:rFonts w:ascii="Times New Roman" w:hAnsi="Times New Roman" w:cs="Times New Roman"/>
                <w:sz w:val="24"/>
                <w:szCs w:val="24"/>
              </w:rPr>
            </w:pPr>
            <w:r>
              <w:rPr>
                <w:rFonts w:ascii="Times New Roman" w:hAnsi="Times New Roman" w:cs="Times New Roman"/>
                <w:sz w:val="24"/>
                <w:szCs w:val="24"/>
              </w:rPr>
              <w:t>4</w:t>
            </w:r>
            <w:r w:rsidRPr="008125B3">
              <w:rPr>
                <w:rFonts w:ascii="Times New Roman" w:hAnsi="Times New Roman" w:cs="Times New Roman"/>
                <w:sz w:val="24"/>
                <w:szCs w:val="24"/>
              </w:rPr>
              <w:t>.</w:t>
            </w:r>
          </w:p>
        </w:tc>
        <w:tc>
          <w:tcPr>
            <w:tcW w:w="9916" w:type="dxa"/>
            <w:gridSpan w:val="2"/>
            <w:shd w:val="clear" w:color="auto" w:fill="E2EFD9" w:themeFill="accent6" w:themeFillTint="33"/>
          </w:tcPr>
          <w:p w14:paraId="3BC85130" w14:textId="77777777" w:rsidR="007E0FDE" w:rsidRPr="008125B3" w:rsidRDefault="007E0FDE" w:rsidP="007E0FDE">
            <w:pPr>
              <w:rPr>
                <w:rFonts w:ascii="Times New Roman" w:hAnsi="Times New Roman" w:cs="Times New Roman"/>
                <w:b/>
                <w:sz w:val="12"/>
                <w:szCs w:val="12"/>
              </w:rPr>
            </w:pPr>
          </w:p>
          <w:p w14:paraId="0EDF6CAA" w14:textId="77777777" w:rsidR="007E0FDE" w:rsidRPr="008125B3" w:rsidRDefault="007E0FDE" w:rsidP="007E0FDE">
            <w:pPr>
              <w:rPr>
                <w:rFonts w:ascii="Times New Roman" w:hAnsi="Times New Roman" w:cs="Times New Roman"/>
                <w:b/>
                <w:sz w:val="24"/>
                <w:szCs w:val="24"/>
              </w:rPr>
            </w:pPr>
            <w:r>
              <w:rPr>
                <w:rFonts w:ascii="Times New Roman" w:hAnsi="Times New Roman" w:cs="Times New Roman"/>
                <w:b/>
                <w:sz w:val="24"/>
                <w:szCs w:val="24"/>
              </w:rPr>
              <w:t xml:space="preserve">Existing safeguards in place </w:t>
            </w:r>
          </w:p>
          <w:p w14:paraId="2C588183" w14:textId="77777777" w:rsidR="007E0FDE" w:rsidRPr="008125B3" w:rsidRDefault="007E0FDE" w:rsidP="007E0FDE">
            <w:pPr>
              <w:jc w:val="center"/>
              <w:rPr>
                <w:rFonts w:ascii="Times New Roman" w:hAnsi="Times New Roman" w:cs="Times New Roman"/>
                <w:b/>
                <w:sz w:val="12"/>
                <w:szCs w:val="12"/>
              </w:rPr>
            </w:pPr>
          </w:p>
        </w:tc>
      </w:tr>
      <w:tr w:rsidR="007E0FDE" w14:paraId="3DCD5158" w14:textId="77777777" w:rsidTr="003C7917">
        <w:tc>
          <w:tcPr>
            <w:tcW w:w="846" w:type="dxa"/>
          </w:tcPr>
          <w:p w14:paraId="2DD27D8F"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4.1</w:t>
            </w:r>
          </w:p>
        </w:tc>
        <w:tc>
          <w:tcPr>
            <w:tcW w:w="4678" w:type="dxa"/>
          </w:tcPr>
          <w:p w14:paraId="7F27AB77" w14:textId="77777777" w:rsidR="007E0FDE" w:rsidRPr="00651BFD" w:rsidRDefault="007E0FDE" w:rsidP="007E0FDE">
            <w:pPr>
              <w:spacing w:after="60"/>
              <w:ind w:right="57"/>
              <w:rPr>
                <w:rFonts w:ascii="Times New Roman" w:hAnsi="Times New Roman" w:cs="Times New Roman"/>
                <w:sz w:val="24"/>
                <w:szCs w:val="24"/>
              </w:rPr>
            </w:pPr>
            <w:r>
              <w:rPr>
                <w:rFonts w:ascii="Times New Roman" w:hAnsi="Times New Roman" w:cs="Times New Roman"/>
                <w:sz w:val="24"/>
                <w:szCs w:val="24"/>
              </w:rPr>
              <w:t>In what format will the personal data be transferred?</w:t>
            </w:r>
          </w:p>
        </w:tc>
        <w:tc>
          <w:tcPr>
            <w:tcW w:w="5238" w:type="dxa"/>
          </w:tcPr>
          <w:p w14:paraId="2FE9F03D"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Plain text/In the clear</w:t>
            </w:r>
          </w:p>
          <w:p w14:paraId="3CB21F50"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Pseudonymised</w:t>
            </w:r>
          </w:p>
          <w:p w14:paraId="18682106" w14:textId="77777777" w:rsidR="007E0FDE" w:rsidRPr="00521D3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sidRPr="00521D3E">
              <w:rPr>
                <w:rFonts w:ascii="Times New Roman" w:hAnsi="Times New Roman" w:cs="Times New Roman"/>
                <w:color w:val="000000" w:themeColor="text1"/>
                <w:sz w:val="24"/>
                <w:szCs w:val="24"/>
              </w:rPr>
              <w:t xml:space="preserve"> Encrypted</w:t>
            </w:r>
          </w:p>
          <w:p w14:paraId="6DC7984D" w14:textId="77777777" w:rsidR="007E0FDE" w:rsidRDefault="007E0FDE" w:rsidP="007E0FDE">
            <w:pPr>
              <w:spacing w:after="60"/>
              <w:rPr>
                <w:rFonts w:ascii="Times New Roman" w:hAnsi="Times New Roman" w:cs="Times New Roman"/>
                <w:color w:val="000000" w:themeColor="text1"/>
                <w:sz w:val="24"/>
                <w:szCs w:val="24"/>
              </w:rPr>
            </w:pPr>
            <w:r w:rsidRPr="00521D3E">
              <w:rPr>
                <w:rFonts w:ascii="Segoe UI Symbol" w:hAnsi="Segoe UI Symbol" w:cs="Segoe UI Symbol"/>
                <w:color w:val="000000" w:themeColor="text1"/>
                <w:sz w:val="24"/>
                <w:szCs w:val="24"/>
              </w:rPr>
              <w:t>☐</w:t>
            </w:r>
            <w:r>
              <w:rPr>
                <w:rFonts w:ascii="Times New Roman" w:hAnsi="Times New Roman" w:cs="Times New Roman"/>
                <w:color w:val="000000" w:themeColor="text1"/>
                <w:sz w:val="24"/>
                <w:szCs w:val="24"/>
              </w:rPr>
              <w:t xml:space="preserve"> Other </w:t>
            </w:r>
          </w:p>
          <w:p w14:paraId="1D2AB9DC" w14:textId="77777777" w:rsidR="007E0FDE" w:rsidRDefault="007E0FDE" w:rsidP="007E0FDE">
            <w:pPr>
              <w:spacing w:after="60"/>
              <w:rPr>
                <w:rFonts w:ascii="Times New Roman" w:hAnsi="Times New Roman" w:cs="Times New Roman"/>
                <w:color w:val="000000" w:themeColor="text1"/>
                <w:sz w:val="24"/>
                <w:szCs w:val="24"/>
              </w:rPr>
            </w:pPr>
          </w:p>
          <w:p w14:paraId="0B28F861" w14:textId="77777777" w:rsidR="007E0FDE" w:rsidRPr="00332730" w:rsidRDefault="007E0FDE" w:rsidP="007E0FDE">
            <w:pPr>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‘Other’ Describe</w:t>
            </w:r>
          </w:p>
        </w:tc>
      </w:tr>
      <w:tr w:rsidR="007E0FDE" w14:paraId="41AB33E1" w14:textId="77777777" w:rsidTr="003C7917">
        <w:tc>
          <w:tcPr>
            <w:tcW w:w="846" w:type="dxa"/>
          </w:tcPr>
          <w:p w14:paraId="08B667FA"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4.2</w:t>
            </w:r>
          </w:p>
        </w:tc>
        <w:tc>
          <w:tcPr>
            <w:tcW w:w="4678" w:type="dxa"/>
          </w:tcPr>
          <w:p w14:paraId="58BF8E7A" w14:textId="77777777" w:rsidR="007E0FDE" w:rsidRDefault="007E0FDE" w:rsidP="007E0FDE">
            <w:pPr>
              <w:spacing w:after="60"/>
              <w:ind w:right="57"/>
              <w:rPr>
                <w:rFonts w:ascii="Times New Roman" w:hAnsi="Times New Roman" w:cs="Times New Roman"/>
                <w:sz w:val="24"/>
                <w:szCs w:val="24"/>
              </w:rPr>
            </w:pPr>
            <w:r>
              <w:rPr>
                <w:rFonts w:ascii="Times New Roman" w:hAnsi="Times New Roman" w:cs="Times New Roman"/>
                <w:sz w:val="24"/>
                <w:szCs w:val="24"/>
              </w:rPr>
              <w:t>How will personal data be transferred to the Data Importer?</w:t>
            </w:r>
          </w:p>
          <w:p w14:paraId="47C9C20D" w14:textId="77777777" w:rsidR="007E0FDE" w:rsidRDefault="007E0FDE" w:rsidP="007E0FDE">
            <w:pPr>
              <w:spacing w:after="60"/>
              <w:ind w:right="57"/>
              <w:rPr>
                <w:rFonts w:ascii="Times New Roman" w:hAnsi="Times New Roman" w:cs="Times New Roman"/>
                <w:sz w:val="24"/>
                <w:szCs w:val="24"/>
              </w:rPr>
            </w:pPr>
          </w:p>
          <w:p w14:paraId="22263D7F" w14:textId="77777777" w:rsidR="007E0FDE" w:rsidRDefault="007E0FDE" w:rsidP="007E0FDE">
            <w:pPr>
              <w:spacing w:after="60"/>
              <w:ind w:right="57"/>
              <w:rPr>
                <w:rFonts w:ascii="Times New Roman" w:hAnsi="Times New Roman" w:cs="Times New Roman"/>
                <w:sz w:val="24"/>
                <w:szCs w:val="24"/>
              </w:rPr>
            </w:pPr>
          </w:p>
          <w:p w14:paraId="301203A2" w14:textId="77777777" w:rsidR="007E0FDE" w:rsidRPr="00651BFD" w:rsidRDefault="007E0FDE" w:rsidP="007E0FDE">
            <w:pPr>
              <w:spacing w:after="60"/>
              <w:ind w:right="57"/>
              <w:rPr>
                <w:rFonts w:ascii="Times New Roman" w:hAnsi="Times New Roman" w:cs="Times New Roman"/>
                <w:sz w:val="24"/>
                <w:szCs w:val="24"/>
              </w:rPr>
            </w:pPr>
          </w:p>
        </w:tc>
        <w:tc>
          <w:tcPr>
            <w:tcW w:w="5238" w:type="dxa"/>
          </w:tcPr>
          <w:p w14:paraId="3E22372B" w14:textId="77777777" w:rsidR="007E0FDE" w:rsidRPr="00651BFD" w:rsidRDefault="007E0FDE" w:rsidP="007E0FDE">
            <w:pPr>
              <w:spacing w:after="60"/>
              <w:rPr>
                <w:rFonts w:ascii="Segoe UI Symbol" w:hAnsi="Segoe UI Symbol" w:cs="Segoe UI Symbol"/>
                <w:color w:val="000000" w:themeColor="text1"/>
                <w:sz w:val="24"/>
                <w:szCs w:val="24"/>
              </w:rPr>
            </w:pPr>
          </w:p>
        </w:tc>
      </w:tr>
      <w:tr w:rsidR="007E0FDE" w14:paraId="07392B7C" w14:textId="77777777" w:rsidTr="003C7917">
        <w:tc>
          <w:tcPr>
            <w:tcW w:w="846" w:type="dxa"/>
          </w:tcPr>
          <w:p w14:paraId="5FF20E9C" w14:textId="77777777" w:rsidR="007E0FDE" w:rsidRDefault="007E0FDE" w:rsidP="007E0FDE">
            <w:pPr>
              <w:rPr>
                <w:rFonts w:ascii="Times New Roman" w:hAnsi="Times New Roman" w:cs="Times New Roman"/>
                <w:sz w:val="24"/>
                <w:szCs w:val="24"/>
              </w:rPr>
            </w:pPr>
            <w:r>
              <w:rPr>
                <w:rFonts w:ascii="Times New Roman" w:hAnsi="Times New Roman" w:cs="Times New Roman"/>
                <w:sz w:val="24"/>
                <w:szCs w:val="24"/>
              </w:rPr>
              <w:t xml:space="preserve">4.3 </w:t>
            </w:r>
          </w:p>
        </w:tc>
        <w:tc>
          <w:tcPr>
            <w:tcW w:w="4678" w:type="dxa"/>
          </w:tcPr>
          <w:p w14:paraId="642768A3" w14:textId="77777777" w:rsidR="007E0FDE" w:rsidRPr="00C07835" w:rsidRDefault="007E0FDE" w:rsidP="007E0FDE">
            <w:pPr>
              <w:spacing w:after="60"/>
              <w:ind w:left="57" w:right="57"/>
              <w:rPr>
                <w:rFonts w:ascii="Times New Roman" w:hAnsi="Times New Roman" w:cs="Times New Roman"/>
                <w:sz w:val="24"/>
                <w:szCs w:val="24"/>
              </w:rPr>
            </w:pPr>
            <w:r w:rsidRPr="00C07835">
              <w:rPr>
                <w:rFonts w:ascii="Times New Roman" w:hAnsi="Times New Roman" w:cs="Times New Roman"/>
                <w:sz w:val="24"/>
                <w:szCs w:val="24"/>
              </w:rPr>
              <w:t xml:space="preserve">What security measures does the Data Importer have in place to mitigate any risks associated with data transfers to countries outside the EEA which are not covered by an </w:t>
            </w:r>
            <w:r w:rsidR="00A71691">
              <w:rPr>
                <w:rFonts w:ascii="Times New Roman" w:hAnsi="Times New Roman" w:cs="Times New Roman"/>
                <w:sz w:val="24"/>
                <w:szCs w:val="24"/>
              </w:rPr>
              <w:t>European Commission</w:t>
            </w:r>
            <w:r w:rsidRPr="00C07835">
              <w:rPr>
                <w:rFonts w:ascii="Times New Roman" w:hAnsi="Times New Roman" w:cs="Times New Roman"/>
                <w:sz w:val="24"/>
                <w:szCs w:val="24"/>
              </w:rPr>
              <w:t xml:space="preserve"> ‘adequacy decision’.</w:t>
            </w:r>
          </w:p>
        </w:tc>
        <w:tc>
          <w:tcPr>
            <w:tcW w:w="5238" w:type="dxa"/>
          </w:tcPr>
          <w:p w14:paraId="56E6199E"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Only minimum data set transferred outside the </w:t>
            </w:r>
          </w:p>
          <w:p w14:paraId="5471AB86" w14:textId="77777777" w:rsidR="007E0FDE" w:rsidRPr="00C07835" w:rsidRDefault="007E0FDE" w:rsidP="007E0FDE">
            <w:pPr>
              <w:spacing w:after="60"/>
              <w:rPr>
                <w:rFonts w:ascii="Times New Roman" w:hAnsi="Times New Roman" w:cs="Times New Roman"/>
                <w:sz w:val="24"/>
                <w:szCs w:val="24"/>
              </w:rPr>
            </w:pPr>
            <w:r w:rsidRPr="00C07835">
              <w:rPr>
                <w:rFonts w:ascii="Times New Roman" w:hAnsi="Times New Roman" w:cs="Times New Roman"/>
                <w:sz w:val="24"/>
                <w:szCs w:val="24"/>
              </w:rPr>
              <w:t xml:space="preserve">     EEA</w:t>
            </w:r>
          </w:p>
          <w:p w14:paraId="27CE0774"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Data encrypted in transit</w:t>
            </w:r>
          </w:p>
          <w:p w14:paraId="2600A377"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Data encrypted at rest</w:t>
            </w:r>
          </w:p>
          <w:p w14:paraId="018BDA29"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Role based access </w:t>
            </w:r>
          </w:p>
          <w:p w14:paraId="6D3D06C5"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MFA / 2FA</w:t>
            </w:r>
          </w:p>
          <w:p w14:paraId="5939B664"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24/7 access monitoring</w:t>
            </w:r>
          </w:p>
          <w:p w14:paraId="16170541"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MFA / 2FA</w:t>
            </w:r>
          </w:p>
          <w:p w14:paraId="0C3149CF" w14:textId="77777777" w:rsidR="007E0FDE" w:rsidRPr="00C07835" w:rsidRDefault="007E0FDE" w:rsidP="007E0FDE">
            <w:pPr>
              <w:spacing w:after="60"/>
              <w:rPr>
                <w:rFonts w:ascii="Times New Roman" w:hAnsi="Times New Roman" w:cs="Times New Roman"/>
                <w:sz w:val="24"/>
                <w:szCs w:val="24"/>
              </w:rPr>
            </w:pPr>
            <w:r w:rsidRPr="00C07835">
              <w:rPr>
                <w:rFonts w:ascii="Segoe UI Symbol" w:hAnsi="Segoe UI Symbol" w:cs="Segoe UI Symbol"/>
                <w:sz w:val="24"/>
                <w:szCs w:val="24"/>
              </w:rPr>
              <w:t>☐</w:t>
            </w:r>
            <w:r w:rsidRPr="00C07835">
              <w:rPr>
                <w:rFonts w:ascii="Times New Roman" w:hAnsi="Times New Roman" w:cs="Times New Roman"/>
                <w:sz w:val="24"/>
                <w:szCs w:val="24"/>
              </w:rPr>
              <w:t xml:space="preserve"> Other</w:t>
            </w:r>
          </w:p>
          <w:p w14:paraId="59E950B5" w14:textId="77777777" w:rsidR="007E0FDE" w:rsidRPr="00C07835" w:rsidRDefault="007E0FDE" w:rsidP="007E0FDE">
            <w:pPr>
              <w:spacing w:after="60"/>
              <w:rPr>
                <w:rFonts w:ascii="Times New Roman" w:hAnsi="Times New Roman" w:cs="Times New Roman"/>
                <w:sz w:val="24"/>
                <w:szCs w:val="24"/>
              </w:rPr>
            </w:pPr>
          </w:p>
          <w:p w14:paraId="66CA06AB" w14:textId="77777777" w:rsidR="007E0FDE" w:rsidRPr="00C07835" w:rsidRDefault="007E0FDE" w:rsidP="007E0FDE">
            <w:pPr>
              <w:spacing w:after="60"/>
              <w:rPr>
                <w:rFonts w:ascii="Times New Roman" w:hAnsi="Times New Roman" w:cs="Times New Roman"/>
                <w:sz w:val="24"/>
                <w:szCs w:val="24"/>
              </w:rPr>
            </w:pPr>
            <w:r w:rsidRPr="00C07835">
              <w:rPr>
                <w:rFonts w:ascii="Times New Roman" w:hAnsi="Times New Roman" w:cs="Times New Roman"/>
                <w:sz w:val="24"/>
                <w:szCs w:val="24"/>
              </w:rPr>
              <w:t>If ‘Other’ Describe</w:t>
            </w:r>
          </w:p>
          <w:p w14:paraId="6F6EC2EF" w14:textId="77777777" w:rsidR="007E0FDE" w:rsidRPr="00C07835" w:rsidRDefault="007E0FDE" w:rsidP="007E0FDE">
            <w:pPr>
              <w:spacing w:after="60"/>
              <w:rPr>
                <w:rFonts w:ascii="Segoe UI Symbol" w:hAnsi="Segoe UI Symbol" w:cs="Segoe UI Symbol"/>
                <w:sz w:val="24"/>
                <w:szCs w:val="24"/>
              </w:rPr>
            </w:pPr>
          </w:p>
        </w:tc>
      </w:tr>
      <w:tr w:rsidR="007E0FDE" w14:paraId="23B090B8" w14:textId="77777777" w:rsidTr="002A3E7C">
        <w:tc>
          <w:tcPr>
            <w:tcW w:w="846" w:type="dxa"/>
            <w:shd w:val="clear" w:color="auto" w:fill="E2EFD9" w:themeFill="accent6" w:themeFillTint="33"/>
          </w:tcPr>
          <w:p w14:paraId="3745F3D0" w14:textId="77777777" w:rsidR="007E0FDE" w:rsidRPr="008125B3" w:rsidRDefault="007E0FDE" w:rsidP="007E0FDE">
            <w:pPr>
              <w:rPr>
                <w:rFonts w:ascii="Times New Roman" w:hAnsi="Times New Roman" w:cs="Times New Roman"/>
                <w:sz w:val="12"/>
                <w:szCs w:val="12"/>
              </w:rPr>
            </w:pPr>
          </w:p>
          <w:p w14:paraId="11A73C25" w14:textId="77777777" w:rsidR="007E0FDE" w:rsidRPr="008125B3" w:rsidRDefault="007E0FDE" w:rsidP="007E0FDE">
            <w:pPr>
              <w:rPr>
                <w:rFonts w:ascii="Times New Roman" w:hAnsi="Times New Roman" w:cs="Times New Roman"/>
                <w:sz w:val="24"/>
                <w:szCs w:val="24"/>
              </w:rPr>
            </w:pPr>
            <w:r>
              <w:rPr>
                <w:rFonts w:ascii="Times New Roman" w:hAnsi="Times New Roman" w:cs="Times New Roman"/>
                <w:sz w:val="24"/>
                <w:szCs w:val="24"/>
              </w:rPr>
              <w:t>5</w:t>
            </w:r>
            <w:r w:rsidRPr="008125B3">
              <w:rPr>
                <w:rFonts w:ascii="Times New Roman" w:hAnsi="Times New Roman" w:cs="Times New Roman"/>
                <w:sz w:val="24"/>
                <w:szCs w:val="24"/>
              </w:rPr>
              <w:t>.</w:t>
            </w:r>
          </w:p>
        </w:tc>
        <w:tc>
          <w:tcPr>
            <w:tcW w:w="9916" w:type="dxa"/>
            <w:gridSpan w:val="2"/>
            <w:shd w:val="clear" w:color="auto" w:fill="E2EFD9" w:themeFill="accent6" w:themeFillTint="33"/>
          </w:tcPr>
          <w:p w14:paraId="57BB1927" w14:textId="77777777" w:rsidR="007E0FDE" w:rsidRPr="008125B3" w:rsidRDefault="007E0FDE" w:rsidP="007E0FDE">
            <w:pPr>
              <w:rPr>
                <w:rFonts w:ascii="Times New Roman" w:hAnsi="Times New Roman" w:cs="Times New Roman"/>
                <w:b/>
                <w:sz w:val="12"/>
                <w:szCs w:val="12"/>
              </w:rPr>
            </w:pPr>
          </w:p>
          <w:p w14:paraId="3FC0D279" w14:textId="77777777" w:rsidR="007E0FDE" w:rsidRPr="008125B3" w:rsidRDefault="007E0FDE" w:rsidP="007E0FDE">
            <w:pPr>
              <w:rPr>
                <w:rFonts w:ascii="Times New Roman" w:hAnsi="Times New Roman" w:cs="Times New Roman"/>
                <w:b/>
                <w:sz w:val="24"/>
                <w:szCs w:val="24"/>
              </w:rPr>
            </w:pPr>
            <w:r>
              <w:rPr>
                <w:rFonts w:ascii="Times New Roman" w:hAnsi="Times New Roman" w:cs="Times New Roman"/>
                <w:b/>
                <w:sz w:val="24"/>
                <w:szCs w:val="24"/>
              </w:rPr>
              <w:t>Possible Alternatives</w:t>
            </w:r>
          </w:p>
          <w:p w14:paraId="6357359C" w14:textId="77777777" w:rsidR="007E0FDE" w:rsidRPr="008125B3" w:rsidRDefault="007E0FDE" w:rsidP="007E0FDE">
            <w:pPr>
              <w:jc w:val="center"/>
              <w:rPr>
                <w:rFonts w:ascii="Times New Roman" w:hAnsi="Times New Roman" w:cs="Times New Roman"/>
                <w:b/>
                <w:sz w:val="12"/>
                <w:szCs w:val="12"/>
              </w:rPr>
            </w:pPr>
          </w:p>
        </w:tc>
      </w:tr>
      <w:tr w:rsidR="007E0FDE" w14:paraId="31BE24EC" w14:textId="77777777" w:rsidTr="003C7917">
        <w:tc>
          <w:tcPr>
            <w:tcW w:w="846" w:type="dxa"/>
          </w:tcPr>
          <w:p w14:paraId="47AC9DAA" w14:textId="77777777" w:rsidR="007E0FDE" w:rsidRPr="002E1F44" w:rsidRDefault="007E0FDE" w:rsidP="007E0FDE">
            <w:pPr>
              <w:rPr>
                <w:rFonts w:ascii="Times New Roman" w:hAnsi="Times New Roman" w:cs="Times New Roman"/>
                <w:color w:val="000000" w:themeColor="text1"/>
                <w:sz w:val="24"/>
                <w:szCs w:val="24"/>
              </w:rPr>
            </w:pPr>
            <w:r w:rsidRPr="002E1F44">
              <w:rPr>
                <w:rFonts w:ascii="Times New Roman" w:hAnsi="Times New Roman" w:cs="Times New Roman"/>
                <w:color w:val="000000" w:themeColor="text1"/>
                <w:sz w:val="24"/>
                <w:szCs w:val="24"/>
              </w:rPr>
              <w:t>5.1</w:t>
            </w:r>
          </w:p>
        </w:tc>
        <w:tc>
          <w:tcPr>
            <w:tcW w:w="4678" w:type="dxa"/>
          </w:tcPr>
          <w:p w14:paraId="44294CC9" w14:textId="77777777" w:rsidR="007E0FDE" w:rsidRPr="00A258E3" w:rsidRDefault="007E0FDE" w:rsidP="007E0FDE">
            <w:pPr>
              <w:spacing w:after="60"/>
              <w:ind w:right="57"/>
              <w:rPr>
                <w:rFonts w:ascii="Times New Roman" w:hAnsi="Times New Roman" w:cs="Times New Roman"/>
                <w:sz w:val="24"/>
                <w:szCs w:val="24"/>
              </w:rPr>
            </w:pPr>
            <w:r w:rsidRPr="00A258E3">
              <w:rPr>
                <w:rFonts w:ascii="Times New Roman" w:hAnsi="Times New Roman" w:cs="Times New Roman"/>
                <w:sz w:val="24"/>
                <w:szCs w:val="24"/>
              </w:rPr>
              <w:t xml:space="preserve">Can the HSE’s purposes be achieved </w:t>
            </w:r>
            <w:r w:rsidRPr="00A258E3">
              <w:rPr>
                <w:rFonts w:ascii="Times New Roman" w:hAnsi="Times New Roman" w:cs="Times New Roman"/>
                <w:sz w:val="24"/>
                <w:szCs w:val="24"/>
                <w:u w:val="single"/>
              </w:rPr>
              <w:t>without</w:t>
            </w:r>
            <w:r w:rsidRPr="00A258E3">
              <w:rPr>
                <w:rFonts w:ascii="Times New Roman" w:hAnsi="Times New Roman" w:cs="Times New Roman"/>
                <w:sz w:val="24"/>
                <w:szCs w:val="24"/>
              </w:rPr>
              <w:t xml:space="preserve"> transferring the personal data to a country outside the EEA not covered by an </w:t>
            </w:r>
            <w:r w:rsidR="00A71691">
              <w:rPr>
                <w:rFonts w:ascii="Times New Roman" w:hAnsi="Times New Roman" w:cs="Times New Roman"/>
                <w:sz w:val="24"/>
                <w:szCs w:val="24"/>
              </w:rPr>
              <w:t>European Commission</w:t>
            </w:r>
            <w:r w:rsidRPr="00A258E3">
              <w:rPr>
                <w:rFonts w:ascii="Times New Roman" w:hAnsi="Times New Roman" w:cs="Times New Roman"/>
                <w:sz w:val="24"/>
                <w:szCs w:val="24"/>
              </w:rPr>
              <w:t xml:space="preserve"> ‘adequacy decision (e.g. using a supplier based within the EEA or a country outside the EEA covered by an </w:t>
            </w:r>
            <w:r w:rsidR="00A71691">
              <w:rPr>
                <w:rFonts w:ascii="Times New Roman" w:hAnsi="Times New Roman" w:cs="Times New Roman"/>
                <w:sz w:val="24"/>
                <w:szCs w:val="24"/>
              </w:rPr>
              <w:t>European Commission</w:t>
            </w:r>
            <w:r w:rsidRPr="00A258E3">
              <w:rPr>
                <w:rFonts w:ascii="Times New Roman" w:hAnsi="Times New Roman" w:cs="Times New Roman"/>
                <w:sz w:val="24"/>
                <w:szCs w:val="24"/>
              </w:rPr>
              <w:t xml:space="preserve"> ‘adequacy decision)</w:t>
            </w:r>
            <w:r>
              <w:rPr>
                <w:rFonts w:ascii="Times New Roman" w:hAnsi="Times New Roman" w:cs="Times New Roman"/>
                <w:sz w:val="24"/>
                <w:szCs w:val="24"/>
              </w:rPr>
              <w:t>?</w:t>
            </w:r>
          </w:p>
        </w:tc>
        <w:tc>
          <w:tcPr>
            <w:tcW w:w="5238" w:type="dxa"/>
          </w:tcPr>
          <w:p w14:paraId="7F73A68A"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Yes</w:t>
            </w:r>
          </w:p>
          <w:p w14:paraId="12C8EF13"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No </w:t>
            </w:r>
          </w:p>
          <w:p w14:paraId="418877F4" w14:textId="77777777" w:rsidR="007E0FDE" w:rsidRPr="00A258E3" w:rsidRDefault="007E0FDE" w:rsidP="007E0FDE">
            <w:pPr>
              <w:spacing w:after="60"/>
              <w:rPr>
                <w:rFonts w:ascii="Times New Roman" w:hAnsi="Times New Roman" w:cs="Times New Roman"/>
                <w:sz w:val="24"/>
                <w:szCs w:val="24"/>
              </w:rPr>
            </w:pPr>
          </w:p>
          <w:p w14:paraId="2B6EB37E" w14:textId="77777777" w:rsidR="007E0FDE" w:rsidRPr="00A258E3" w:rsidRDefault="007E0FDE" w:rsidP="007E0FDE">
            <w:pPr>
              <w:spacing w:after="60"/>
              <w:rPr>
                <w:rFonts w:ascii="Times New Roman" w:hAnsi="Times New Roman" w:cs="Times New Roman"/>
                <w:sz w:val="24"/>
                <w:szCs w:val="24"/>
              </w:rPr>
            </w:pPr>
            <w:r w:rsidRPr="00A258E3">
              <w:rPr>
                <w:rFonts w:ascii="Times New Roman" w:hAnsi="Times New Roman" w:cs="Times New Roman"/>
                <w:sz w:val="24"/>
                <w:szCs w:val="24"/>
              </w:rPr>
              <w:t>If ‘Yes’ explain why this option has not been taken</w:t>
            </w:r>
          </w:p>
          <w:p w14:paraId="50E8B92C" w14:textId="77777777" w:rsidR="007E0FDE" w:rsidRPr="00A258E3" w:rsidRDefault="007E0FDE" w:rsidP="007E0FDE">
            <w:pPr>
              <w:spacing w:after="60"/>
              <w:rPr>
                <w:rFonts w:ascii="Times New Roman" w:hAnsi="Times New Roman" w:cs="Times New Roman"/>
                <w:sz w:val="24"/>
                <w:szCs w:val="24"/>
              </w:rPr>
            </w:pPr>
          </w:p>
          <w:p w14:paraId="0B14A301" w14:textId="77777777" w:rsidR="007E0FDE" w:rsidRPr="00A258E3" w:rsidRDefault="007E0FDE" w:rsidP="007E0FDE">
            <w:pPr>
              <w:spacing w:after="60"/>
              <w:rPr>
                <w:rFonts w:ascii="Times New Roman" w:hAnsi="Times New Roman" w:cs="Times New Roman"/>
                <w:sz w:val="24"/>
                <w:szCs w:val="24"/>
              </w:rPr>
            </w:pPr>
          </w:p>
        </w:tc>
      </w:tr>
      <w:tr w:rsidR="007E0FDE" w14:paraId="04A2EF70" w14:textId="77777777" w:rsidTr="003C7917">
        <w:tc>
          <w:tcPr>
            <w:tcW w:w="846" w:type="dxa"/>
          </w:tcPr>
          <w:p w14:paraId="669B371E" w14:textId="77777777" w:rsidR="007E0FDE" w:rsidRPr="002E1F44" w:rsidRDefault="007E0FDE" w:rsidP="007E0F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4678" w:type="dxa"/>
          </w:tcPr>
          <w:p w14:paraId="6B9E5B61" w14:textId="77777777" w:rsidR="007E0FDE" w:rsidRPr="00A258E3" w:rsidRDefault="007E0FDE" w:rsidP="007E0FDE">
            <w:pPr>
              <w:spacing w:after="60"/>
              <w:ind w:right="57"/>
              <w:rPr>
                <w:rFonts w:ascii="Times New Roman" w:hAnsi="Times New Roman" w:cs="Times New Roman"/>
                <w:sz w:val="24"/>
                <w:szCs w:val="24"/>
              </w:rPr>
            </w:pPr>
            <w:r w:rsidRPr="00A258E3">
              <w:rPr>
                <w:rFonts w:ascii="Times New Roman" w:hAnsi="Times New Roman" w:cs="Times New Roman"/>
                <w:sz w:val="24"/>
                <w:szCs w:val="24"/>
              </w:rPr>
              <w:t>Can the HSE’s purposes be achieved with t</w:t>
            </w:r>
            <w:r>
              <w:rPr>
                <w:rFonts w:ascii="Times New Roman" w:hAnsi="Times New Roman" w:cs="Times New Roman"/>
                <w:sz w:val="24"/>
                <w:szCs w:val="24"/>
              </w:rPr>
              <w:t xml:space="preserve">he transfer of </w:t>
            </w:r>
            <w:r w:rsidRPr="00A258E3">
              <w:rPr>
                <w:rFonts w:ascii="Times New Roman" w:hAnsi="Times New Roman" w:cs="Times New Roman"/>
                <w:sz w:val="24"/>
                <w:szCs w:val="24"/>
              </w:rPr>
              <w:t>anonymised data to the Data Importer, in place of personal data</w:t>
            </w:r>
            <w:r>
              <w:rPr>
                <w:rFonts w:ascii="Times New Roman" w:hAnsi="Times New Roman" w:cs="Times New Roman"/>
                <w:sz w:val="24"/>
                <w:szCs w:val="24"/>
              </w:rPr>
              <w:t>?</w:t>
            </w:r>
          </w:p>
          <w:p w14:paraId="35247E24" w14:textId="77777777" w:rsidR="007E0FDE" w:rsidRPr="00A258E3" w:rsidRDefault="007E0FDE" w:rsidP="007E0FDE">
            <w:pPr>
              <w:spacing w:after="60"/>
              <w:ind w:right="57"/>
              <w:rPr>
                <w:rFonts w:ascii="Times New Roman" w:hAnsi="Times New Roman" w:cs="Times New Roman"/>
                <w:sz w:val="16"/>
                <w:szCs w:val="16"/>
              </w:rPr>
            </w:pPr>
          </w:p>
        </w:tc>
        <w:tc>
          <w:tcPr>
            <w:tcW w:w="5238" w:type="dxa"/>
          </w:tcPr>
          <w:p w14:paraId="5408061D"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Yes</w:t>
            </w:r>
          </w:p>
          <w:p w14:paraId="52DF7AF9" w14:textId="77777777" w:rsidR="007E0FDE" w:rsidRPr="00A258E3" w:rsidRDefault="007E0FDE" w:rsidP="007E0FDE">
            <w:pPr>
              <w:spacing w:after="60"/>
              <w:rPr>
                <w:rFonts w:ascii="Times New Roman" w:hAnsi="Times New Roman" w:cs="Times New Roman"/>
                <w:sz w:val="24"/>
                <w:szCs w:val="24"/>
              </w:rPr>
            </w:pPr>
            <w:r w:rsidRPr="00A258E3">
              <w:rPr>
                <w:rFonts w:ascii="Segoe UI Symbol" w:hAnsi="Segoe UI Symbol" w:cs="Segoe UI Symbol"/>
                <w:sz w:val="24"/>
                <w:szCs w:val="24"/>
              </w:rPr>
              <w:t>☐</w:t>
            </w:r>
            <w:r w:rsidRPr="00A258E3">
              <w:rPr>
                <w:rFonts w:ascii="Times New Roman" w:hAnsi="Times New Roman" w:cs="Times New Roman"/>
                <w:sz w:val="24"/>
                <w:szCs w:val="24"/>
              </w:rPr>
              <w:t xml:space="preserve"> No</w:t>
            </w:r>
          </w:p>
          <w:p w14:paraId="627D86A2" w14:textId="77777777" w:rsidR="007E0FDE" w:rsidRPr="00A258E3" w:rsidRDefault="007E0FDE" w:rsidP="007E0FDE">
            <w:pPr>
              <w:spacing w:after="60"/>
              <w:rPr>
                <w:rFonts w:ascii="Times New Roman" w:hAnsi="Times New Roman" w:cs="Times New Roman"/>
                <w:sz w:val="24"/>
                <w:szCs w:val="24"/>
              </w:rPr>
            </w:pPr>
          </w:p>
        </w:tc>
      </w:tr>
    </w:tbl>
    <w:p w14:paraId="79C85574" w14:textId="77777777" w:rsidR="00D01DC5" w:rsidRPr="002E1F44" w:rsidRDefault="00D01DC5" w:rsidP="003C7917">
      <w:pPr>
        <w:tabs>
          <w:tab w:val="left" w:pos="4215"/>
        </w:tabs>
        <w:rPr>
          <w:sz w:val="8"/>
          <w:szCs w:val="8"/>
        </w:rPr>
      </w:pPr>
    </w:p>
    <w:tbl>
      <w:tblPr>
        <w:tblStyle w:val="TableGrid"/>
        <w:tblW w:w="0" w:type="auto"/>
        <w:tblLook w:val="04A0" w:firstRow="1" w:lastRow="0" w:firstColumn="1" w:lastColumn="0" w:noHBand="0" w:noVBand="1"/>
      </w:tblPr>
      <w:tblGrid>
        <w:gridCol w:w="846"/>
        <w:gridCol w:w="3827"/>
        <w:gridCol w:w="425"/>
        <w:gridCol w:w="709"/>
        <w:gridCol w:w="2268"/>
        <w:gridCol w:w="2687"/>
      </w:tblGrid>
      <w:tr w:rsidR="00E20FCC" w14:paraId="184A54C4" w14:textId="77777777" w:rsidTr="00E20FCC">
        <w:tc>
          <w:tcPr>
            <w:tcW w:w="10762" w:type="dxa"/>
            <w:gridSpan w:val="6"/>
            <w:shd w:val="clear" w:color="auto" w:fill="D9E2F3" w:themeFill="accent5" w:themeFillTint="33"/>
          </w:tcPr>
          <w:p w14:paraId="15834512" w14:textId="77777777" w:rsidR="00E20FCC" w:rsidRPr="00E20FCC" w:rsidRDefault="00E20FCC" w:rsidP="00E20FCC">
            <w:pPr>
              <w:rPr>
                <w:rFonts w:ascii="Times New Roman" w:hAnsi="Times New Roman" w:cs="Times New Roman"/>
                <w:b/>
                <w:sz w:val="20"/>
                <w:szCs w:val="20"/>
              </w:rPr>
            </w:pPr>
          </w:p>
          <w:p w14:paraId="67FD75D0" w14:textId="77777777" w:rsidR="00E20FCC" w:rsidRPr="00E20FCC" w:rsidRDefault="00E20FCC" w:rsidP="00E20FCC">
            <w:pPr>
              <w:rPr>
                <w:rFonts w:ascii="Times New Roman" w:hAnsi="Times New Roman" w:cs="Times New Roman"/>
                <w:b/>
                <w:sz w:val="24"/>
                <w:szCs w:val="24"/>
              </w:rPr>
            </w:pPr>
            <w:r>
              <w:rPr>
                <w:rFonts w:ascii="Times New Roman" w:hAnsi="Times New Roman" w:cs="Times New Roman"/>
                <w:b/>
                <w:sz w:val="24"/>
                <w:szCs w:val="24"/>
              </w:rPr>
              <w:t xml:space="preserve">Section B. </w:t>
            </w:r>
            <w:r w:rsidRPr="00E20FCC">
              <w:rPr>
                <w:rFonts w:ascii="Times New Roman" w:hAnsi="Times New Roman" w:cs="Times New Roman"/>
                <w:b/>
                <w:sz w:val="24"/>
                <w:szCs w:val="24"/>
              </w:rPr>
              <w:t>The enforceability of appropriate safeguards, e.g. Standard Contractual Clauses (“SCCS”) (article 46 GDPR)</w:t>
            </w:r>
          </w:p>
          <w:p w14:paraId="019DA833" w14:textId="77777777" w:rsidR="00E20FCC" w:rsidRPr="00E20FCC" w:rsidRDefault="00E20FCC" w:rsidP="003C7917">
            <w:pPr>
              <w:tabs>
                <w:tab w:val="left" w:pos="4215"/>
              </w:tabs>
              <w:rPr>
                <w:sz w:val="20"/>
                <w:szCs w:val="20"/>
              </w:rPr>
            </w:pPr>
          </w:p>
        </w:tc>
      </w:tr>
      <w:tr w:rsidR="00E20FCC" w14:paraId="2A772178" w14:textId="77777777" w:rsidTr="00B91DA7">
        <w:tc>
          <w:tcPr>
            <w:tcW w:w="846" w:type="dxa"/>
            <w:shd w:val="clear" w:color="auto" w:fill="E2EFD9" w:themeFill="accent6" w:themeFillTint="33"/>
          </w:tcPr>
          <w:p w14:paraId="76A2AB6F" w14:textId="77777777" w:rsidR="00E20FCC" w:rsidRPr="00003942" w:rsidRDefault="00E20FCC" w:rsidP="00E20FCC">
            <w:pPr>
              <w:pStyle w:val="Level1"/>
              <w:numPr>
                <w:ilvl w:val="0"/>
                <w:numId w:val="0"/>
              </w:numPr>
              <w:spacing w:before="120" w:after="120"/>
              <w:ind w:left="850" w:hanging="850"/>
              <w:rPr>
                <w:rFonts w:ascii="Times New Roman" w:hAnsi="Times New Roman" w:cs="Times New Roman"/>
                <w:b/>
                <w:sz w:val="24"/>
                <w:szCs w:val="24"/>
              </w:rPr>
            </w:pPr>
            <w:r w:rsidRPr="00003942">
              <w:rPr>
                <w:rFonts w:ascii="Times New Roman" w:hAnsi="Times New Roman" w:cs="Times New Roman"/>
                <w:b/>
                <w:sz w:val="24"/>
                <w:szCs w:val="24"/>
              </w:rPr>
              <w:t xml:space="preserve">1. </w:t>
            </w:r>
          </w:p>
        </w:tc>
        <w:tc>
          <w:tcPr>
            <w:tcW w:w="9916" w:type="dxa"/>
            <w:gridSpan w:val="5"/>
            <w:shd w:val="clear" w:color="auto" w:fill="E2EFD9" w:themeFill="accent6" w:themeFillTint="33"/>
          </w:tcPr>
          <w:p w14:paraId="5997AA8F" w14:textId="77777777" w:rsidR="00E20FCC" w:rsidRPr="00E20FCC" w:rsidRDefault="00E20FCC" w:rsidP="008459D6">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E20FCC">
              <w:rPr>
                <w:rFonts w:ascii="Times New Roman" w:hAnsi="Times New Roman" w:cs="Times New Roman"/>
                <w:b/>
                <w:color w:val="000000" w:themeColor="text1"/>
                <w:sz w:val="24"/>
                <w:szCs w:val="24"/>
              </w:rPr>
              <w:t>Data protection law or practice in recipient third country</w:t>
            </w:r>
            <w:r w:rsidR="008459D6">
              <w:rPr>
                <w:rFonts w:ascii="Times New Roman" w:hAnsi="Times New Roman" w:cs="Times New Roman"/>
                <w:b/>
                <w:color w:val="000000" w:themeColor="text1"/>
                <w:sz w:val="24"/>
                <w:szCs w:val="24"/>
              </w:rPr>
              <w:t xml:space="preserve"> </w:t>
            </w:r>
          </w:p>
        </w:tc>
      </w:tr>
      <w:tr w:rsidR="00E20FCC" w14:paraId="6846F372" w14:textId="77777777" w:rsidTr="003A2B9D">
        <w:tc>
          <w:tcPr>
            <w:tcW w:w="4673" w:type="dxa"/>
            <w:gridSpan w:val="2"/>
            <w:shd w:val="clear" w:color="auto" w:fill="F2F2F2" w:themeFill="background1" w:themeFillShade="F2"/>
          </w:tcPr>
          <w:p w14:paraId="374BB330"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 xml:space="preserve">Question  (Complete these Sections B(1) and (2) for all jurisdictions identified in </w:t>
            </w:r>
            <w:r w:rsidR="00A258E3">
              <w:rPr>
                <w:rFonts w:ascii="Times New Roman" w:hAnsi="Times New Roman" w:cs="Times New Roman"/>
                <w:b/>
                <w:color w:val="000000" w:themeColor="text1"/>
                <w:sz w:val="24"/>
                <w:szCs w:val="24"/>
              </w:rPr>
              <w:t>Section</w:t>
            </w:r>
            <w:r w:rsidR="00525053">
              <w:rPr>
                <w:rFonts w:ascii="Times New Roman" w:hAnsi="Times New Roman" w:cs="Times New Roman"/>
                <w:b/>
                <w:color w:val="000000" w:themeColor="text1"/>
                <w:sz w:val="24"/>
                <w:szCs w:val="24"/>
              </w:rPr>
              <w:t xml:space="preserve"> A</w:t>
            </w:r>
            <w:r w:rsidR="00A258E3">
              <w:rPr>
                <w:rFonts w:ascii="Times New Roman" w:hAnsi="Times New Roman" w:cs="Times New Roman"/>
                <w:b/>
                <w:color w:val="000000" w:themeColor="text1"/>
                <w:sz w:val="24"/>
                <w:szCs w:val="24"/>
              </w:rPr>
              <w:t xml:space="preserve"> 2.</w:t>
            </w:r>
            <w:r w:rsidR="00525053">
              <w:rPr>
                <w:rFonts w:ascii="Times New Roman" w:hAnsi="Times New Roman" w:cs="Times New Roman"/>
                <w:b/>
                <w:color w:val="000000" w:themeColor="text1"/>
                <w:sz w:val="24"/>
                <w:szCs w:val="24"/>
              </w:rPr>
              <w:t>1 – 2.4 (inclusive)</w:t>
            </w:r>
          </w:p>
        </w:tc>
        <w:tc>
          <w:tcPr>
            <w:tcW w:w="1134" w:type="dxa"/>
            <w:gridSpan w:val="2"/>
            <w:shd w:val="clear" w:color="auto" w:fill="F2F2F2" w:themeFill="background1" w:themeFillShade="F2"/>
          </w:tcPr>
          <w:p w14:paraId="6E2613EC"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Yes/No</w:t>
            </w:r>
          </w:p>
        </w:tc>
        <w:tc>
          <w:tcPr>
            <w:tcW w:w="2268" w:type="dxa"/>
            <w:shd w:val="clear" w:color="auto" w:fill="F2F2F2" w:themeFill="background1" w:themeFillShade="F2"/>
          </w:tcPr>
          <w:p w14:paraId="45D73C9F"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Information provided by data importer</w:t>
            </w:r>
          </w:p>
        </w:tc>
        <w:tc>
          <w:tcPr>
            <w:tcW w:w="2687" w:type="dxa"/>
            <w:shd w:val="clear" w:color="auto" w:fill="F2F2F2" w:themeFill="background1" w:themeFillShade="F2"/>
          </w:tcPr>
          <w:p w14:paraId="6D3D6B36" w14:textId="77777777" w:rsidR="00E20FCC" w:rsidRPr="00003942" w:rsidRDefault="00E20FCC" w:rsidP="00E20FCC">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003942">
              <w:rPr>
                <w:rFonts w:ascii="Times New Roman" w:hAnsi="Times New Roman" w:cs="Times New Roman"/>
                <w:b/>
                <w:color w:val="000000" w:themeColor="text1"/>
                <w:sz w:val="24"/>
                <w:szCs w:val="24"/>
              </w:rPr>
              <w:t>Information from the HSE’s own enquiries (incl. source)</w:t>
            </w:r>
          </w:p>
        </w:tc>
      </w:tr>
      <w:tr w:rsidR="00003942" w14:paraId="72D2EB81" w14:textId="77777777" w:rsidTr="00B91DA7">
        <w:tc>
          <w:tcPr>
            <w:tcW w:w="846" w:type="dxa"/>
            <w:shd w:val="clear" w:color="auto" w:fill="FFF2CC" w:themeFill="accent4" w:themeFillTint="33"/>
          </w:tcPr>
          <w:p w14:paraId="04F64DEF" w14:textId="77777777" w:rsidR="00003942" w:rsidRPr="00003942" w:rsidRDefault="00003942" w:rsidP="003C7917">
            <w:pPr>
              <w:tabs>
                <w:tab w:val="left" w:pos="4215"/>
              </w:tabs>
              <w:rPr>
                <w:rFonts w:ascii="Times New Roman" w:hAnsi="Times New Roman" w:cs="Times New Roman"/>
                <w:sz w:val="12"/>
                <w:szCs w:val="12"/>
              </w:rPr>
            </w:pPr>
          </w:p>
          <w:p w14:paraId="7818846A" w14:textId="77777777" w:rsidR="00003942" w:rsidRPr="00003942" w:rsidRDefault="00003942" w:rsidP="003C7917">
            <w:pPr>
              <w:tabs>
                <w:tab w:val="left" w:pos="4215"/>
              </w:tabs>
              <w:rPr>
                <w:rFonts w:ascii="Times New Roman" w:hAnsi="Times New Roman" w:cs="Times New Roman"/>
                <w:sz w:val="24"/>
                <w:szCs w:val="24"/>
              </w:rPr>
            </w:pPr>
            <w:r w:rsidRPr="00003942">
              <w:rPr>
                <w:rFonts w:ascii="Times New Roman" w:hAnsi="Times New Roman" w:cs="Times New Roman"/>
                <w:sz w:val="24"/>
                <w:szCs w:val="24"/>
              </w:rPr>
              <w:t>1.1</w:t>
            </w:r>
          </w:p>
        </w:tc>
        <w:tc>
          <w:tcPr>
            <w:tcW w:w="9916" w:type="dxa"/>
            <w:gridSpan w:val="5"/>
            <w:shd w:val="clear" w:color="auto" w:fill="FFF2CC" w:themeFill="accent4" w:themeFillTint="33"/>
          </w:tcPr>
          <w:p w14:paraId="5F9CD85B" w14:textId="77777777" w:rsidR="00003942" w:rsidRPr="00003942" w:rsidRDefault="00003942" w:rsidP="003C7917">
            <w:pPr>
              <w:tabs>
                <w:tab w:val="left" w:pos="4215"/>
              </w:tabs>
              <w:rPr>
                <w:rFonts w:ascii="Times New Roman" w:hAnsi="Times New Roman" w:cs="Times New Roman"/>
                <w:sz w:val="12"/>
                <w:szCs w:val="12"/>
              </w:rPr>
            </w:pPr>
          </w:p>
          <w:p w14:paraId="1F251305" w14:textId="77777777" w:rsidR="00003942" w:rsidRPr="00003942" w:rsidRDefault="00003942" w:rsidP="003C7917">
            <w:pPr>
              <w:tabs>
                <w:tab w:val="left" w:pos="4215"/>
              </w:tabs>
              <w:rPr>
                <w:rFonts w:ascii="Times New Roman" w:hAnsi="Times New Roman" w:cs="Times New Roman"/>
                <w:b/>
                <w:sz w:val="24"/>
                <w:szCs w:val="24"/>
              </w:rPr>
            </w:pPr>
            <w:r w:rsidRPr="00003942">
              <w:rPr>
                <w:rFonts w:ascii="Times New Roman" w:hAnsi="Times New Roman" w:cs="Times New Roman"/>
                <w:b/>
                <w:sz w:val="24"/>
                <w:szCs w:val="24"/>
              </w:rPr>
              <w:t xml:space="preserve">Data Protection Regime </w:t>
            </w:r>
          </w:p>
          <w:p w14:paraId="6C57793C" w14:textId="77777777" w:rsidR="00003942" w:rsidRPr="00003942" w:rsidRDefault="00003942" w:rsidP="003C7917">
            <w:pPr>
              <w:tabs>
                <w:tab w:val="left" w:pos="4215"/>
              </w:tabs>
              <w:rPr>
                <w:rFonts w:ascii="Times New Roman" w:hAnsi="Times New Roman" w:cs="Times New Roman"/>
                <w:sz w:val="12"/>
                <w:szCs w:val="12"/>
              </w:rPr>
            </w:pPr>
          </w:p>
        </w:tc>
      </w:tr>
      <w:tr w:rsidR="007D745D" w14:paraId="5634F34E" w14:textId="77777777" w:rsidTr="00B91DA7">
        <w:tc>
          <w:tcPr>
            <w:tcW w:w="846" w:type="dxa"/>
          </w:tcPr>
          <w:p w14:paraId="20A1A5AE" w14:textId="77777777" w:rsidR="007D745D" w:rsidRPr="007D745D" w:rsidRDefault="007D745D" w:rsidP="007D745D">
            <w:pPr>
              <w:pStyle w:val="Level3"/>
              <w:rPr>
                <w:rFonts w:ascii="Times New Roman" w:hAnsi="Times New Roman" w:cs="Times New Roman"/>
                <w:sz w:val="24"/>
                <w:szCs w:val="24"/>
              </w:rPr>
            </w:pPr>
          </w:p>
        </w:tc>
        <w:tc>
          <w:tcPr>
            <w:tcW w:w="3827" w:type="dxa"/>
          </w:tcPr>
          <w:p w14:paraId="745DDAC0" w14:textId="77777777" w:rsidR="007D745D" w:rsidRDefault="007D745D" w:rsidP="0087741D">
            <w:pPr>
              <w:pStyle w:val="Level1"/>
              <w:numPr>
                <w:ilvl w:val="0"/>
                <w:numId w:val="0"/>
              </w:numPr>
              <w:spacing w:after="120"/>
              <w:ind w:left="57" w:right="74"/>
              <w:jc w:val="left"/>
              <w:rPr>
                <w:rFonts w:ascii="Times New Roman" w:hAnsi="Times New Roman" w:cs="Times New Roman"/>
                <w:sz w:val="24"/>
                <w:szCs w:val="24"/>
              </w:rPr>
            </w:pPr>
            <w:r w:rsidRPr="007D745D">
              <w:rPr>
                <w:rFonts w:ascii="Times New Roman" w:hAnsi="Times New Roman" w:cs="Times New Roman"/>
                <w:sz w:val="24"/>
                <w:szCs w:val="24"/>
              </w:rPr>
              <w:t>Do</w:t>
            </w:r>
            <w:r w:rsidR="0087741D">
              <w:rPr>
                <w:rFonts w:ascii="Times New Roman" w:hAnsi="Times New Roman" w:cs="Times New Roman"/>
                <w:sz w:val="24"/>
                <w:szCs w:val="24"/>
              </w:rPr>
              <w:t xml:space="preserve">es the country have a dedicated </w:t>
            </w:r>
            <w:r w:rsidRPr="007D745D">
              <w:rPr>
                <w:rFonts w:ascii="Times New Roman" w:hAnsi="Times New Roman" w:cs="Times New Roman"/>
                <w:sz w:val="24"/>
                <w:szCs w:val="24"/>
              </w:rPr>
              <w:t>data protection law?</w:t>
            </w:r>
          </w:p>
          <w:p w14:paraId="4F9DF016"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79104B0A"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011BB0AE"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sz w:val="20"/>
                <w:szCs w:val="20"/>
              </w:rPr>
            </w:pPr>
          </w:p>
        </w:tc>
        <w:tc>
          <w:tcPr>
            <w:tcW w:w="2687" w:type="dxa"/>
          </w:tcPr>
          <w:p w14:paraId="1E55A202"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sz w:val="20"/>
                <w:szCs w:val="20"/>
              </w:rPr>
            </w:pPr>
          </w:p>
        </w:tc>
      </w:tr>
      <w:tr w:rsidR="007D745D" w14:paraId="5443C213" w14:textId="77777777" w:rsidTr="00B91DA7">
        <w:tc>
          <w:tcPr>
            <w:tcW w:w="846" w:type="dxa"/>
          </w:tcPr>
          <w:p w14:paraId="4866CEBD" w14:textId="77777777" w:rsidR="007D745D" w:rsidRPr="007D745D" w:rsidRDefault="007D745D" w:rsidP="007D745D">
            <w:pPr>
              <w:pStyle w:val="Level3"/>
              <w:rPr>
                <w:rFonts w:ascii="Times New Roman" w:hAnsi="Times New Roman" w:cs="Times New Roman"/>
                <w:sz w:val="24"/>
                <w:szCs w:val="24"/>
              </w:rPr>
            </w:pPr>
          </w:p>
        </w:tc>
        <w:tc>
          <w:tcPr>
            <w:tcW w:w="3827" w:type="dxa"/>
          </w:tcPr>
          <w:p w14:paraId="2B161143" w14:textId="77777777" w:rsidR="007D745D" w:rsidRDefault="007D745D" w:rsidP="0087741D">
            <w:pPr>
              <w:pStyle w:val="Level1"/>
              <w:numPr>
                <w:ilvl w:val="0"/>
                <w:numId w:val="0"/>
              </w:numPr>
              <w:spacing w:after="120"/>
              <w:ind w:left="57" w:right="74"/>
              <w:jc w:val="left"/>
              <w:rPr>
                <w:rFonts w:ascii="Times New Roman" w:hAnsi="Times New Roman" w:cs="Times New Roman"/>
                <w:sz w:val="24"/>
                <w:szCs w:val="24"/>
              </w:rPr>
            </w:pPr>
            <w:r w:rsidRPr="007D745D">
              <w:rPr>
                <w:rFonts w:ascii="Times New Roman" w:hAnsi="Times New Roman" w:cs="Times New Roman"/>
                <w:sz w:val="24"/>
                <w:szCs w:val="24"/>
              </w:rPr>
              <w:t>Is th</w:t>
            </w:r>
            <w:r w:rsidR="0087741D">
              <w:rPr>
                <w:rFonts w:ascii="Times New Roman" w:hAnsi="Times New Roman" w:cs="Times New Roman"/>
                <w:sz w:val="24"/>
                <w:szCs w:val="24"/>
              </w:rPr>
              <w:t xml:space="preserve">at data protection law based on </w:t>
            </w:r>
            <w:r w:rsidRPr="007D745D">
              <w:rPr>
                <w:rFonts w:ascii="Times New Roman" w:hAnsi="Times New Roman" w:cs="Times New Roman"/>
                <w:sz w:val="24"/>
                <w:szCs w:val="24"/>
              </w:rPr>
              <w:t>a</w:t>
            </w:r>
            <w:r w:rsidR="0087741D">
              <w:rPr>
                <w:rFonts w:ascii="Times New Roman" w:hAnsi="Times New Roman" w:cs="Times New Roman"/>
                <w:sz w:val="24"/>
                <w:szCs w:val="24"/>
              </w:rPr>
              <w:t xml:space="preserve">ny international instruments on </w:t>
            </w:r>
            <w:r w:rsidRPr="007D745D">
              <w:rPr>
                <w:rFonts w:ascii="Times New Roman" w:hAnsi="Times New Roman" w:cs="Times New Roman"/>
                <w:sz w:val="24"/>
                <w:szCs w:val="24"/>
              </w:rPr>
              <w:t>privacy or data protection?</w:t>
            </w:r>
          </w:p>
          <w:p w14:paraId="08A100B3"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3A47FD6"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78C9000B"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bCs/>
                <w:sz w:val="20"/>
                <w:szCs w:val="20"/>
              </w:rPr>
            </w:pPr>
          </w:p>
        </w:tc>
        <w:tc>
          <w:tcPr>
            <w:tcW w:w="2687" w:type="dxa"/>
          </w:tcPr>
          <w:p w14:paraId="521394E4"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bCs/>
                <w:sz w:val="20"/>
                <w:szCs w:val="20"/>
              </w:rPr>
            </w:pPr>
          </w:p>
        </w:tc>
      </w:tr>
      <w:tr w:rsidR="007D745D" w14:paraId="1988F734" w14:textId="77777777" w:rsidTr="00B91DA7">
        <w:tc>
          <w:tcPr>
            <w:tcW w:w="846" w:type="dxa"/>
          </w:tcPr>
          <w:p w14:paraId="4679252C" w14:textId="77777777" w:rsidR="007D745D" w:rsidRPr="007D745D" w:rsidRDefault="007D745D" w:rsidP="007D745D">
            <w:pPr>
              <w:pStyle w:val="Level3"/>
              <w:rPr>
                <w:rFonts w:ascii="Times New Roman" w:hAnsi="Times New Roman" w:cs="Times New Roman"/>
                <w:sz w:val="24"/>
                <w:szCs w:val="24"/>
              </w:rPr>
            </w:pPr>
          </w:p>
        </w:tc>
        <w:tc>
          <w:tcPr>
            <w:tcW w:w="3827" w:type="dxa"/>
          </w:tcPr>
          <w:p w14:paraId="3093F3C2" w14:textId="77777777" w:rsidR="007D745D" w:rsidRDefault="00011D95" w:rsidP="007D745D">
            <w:pPr>
              <w:pStyle w:val="Level1"/>
              <w:numPr>
                <w:ilvl w:val="0"/>
                <w:numId w:val="0"/>
              </w:numPr>
              <w:spacing w:after="120"/>
              <w:ind w:left="57" w:right="74"/>
              <w:jc w:val="left"/>
              <w:rPr>
                <w:rFonts w:ascii="Times New Roman" w:hAnsi="Times New Roman" w:cs="Times New Roman"/>
                <w:sz w:val="24"/>
                <w:szCs w:val="24"/>
              </w:rPr>
            </w:pPr>
            <w:r>
              <w:rPr>
                <w:rFonts w:ascii="Times New Roman" w:hAnsi="Times New Roman" w:cs="Times New Roman"/>
                <w:sz w:val="24"/>
                <w:szCs w:val="24"/>
              </w:rPr>
              <w:t>Is the Data I</w:t>
            </w:r>
            <w:r w:rsidR="007D745D" w:rsidRPr="007D745D">
              <w:rPr>
                <w:rFonts w:ascii="Times New Roman" w:hAnsi="Times New Roman" w:cs="Times New Roman"/>
                <w:sz w:val="24"/>
                <w:szCs w:val="24"/>
              </w:rPr>
              <w:t>mporter subject to the data protection law(s) described at section 1.1.1?</w:t>
            </w:r>
          </w:p>
          <w:p w14:paraId="36FB2D19" w14:textId="77777777" w:rsidR="00403E77" w:rsidRPr="007D745D" w:rsidRDefault="00403E77" w:rsidP="007D745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5CFDE6D5" w14:textId="77777777" w:rsidR="007D745D" w:rsidRPr="00D37BE5" w:rsidRDefault="007D745D" w:rsidP="007D745D">
            <w:pPr>
              <w:pStyle w:val="Level1"/>
              <w:numPr>
                <w:ilvl w:val="0"/>
                <w:numId w:val="0"/>
              </w:numPr>
              <w:spacing w:after="0"/>
              <w:ind w:left="57" w:right="74"/>
              <w:rPr>
                <w:rFonts w:asciiTheme="majorHAnsi" w:hAnsiTheme="majorHAnsi" w:cstheme="majorHAnsi"/>
                <w:bCs/>
                <w:sz w:val="20"/>
                <w:szCs w:val="20"/>
              </w:rPr>
            </w:pPr>
          </w:p>
        </w:tc>
        <w:tc>
          <w:tcPr>
            <w:tcW w:w="2268" w:type="dxa"/>
          </w:tcPr>
          <w:p w14:paraId="138D4F8D"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iCs/>
                <w:sz w:val="20"/>
                <w:szCs w:val="20"/>
              </w:rPr>
            </w:pPr>
          </w:p>
        </w:tc>
        <w:tc>
          <w:tcPr>
            <w:tcW w:w="2687" w:type="dxa"/>
          </w:tcPr>
          <w:p w14:paraId="2F31835B" w14:textId="77777777" w:rsidR="007D745D" w:rsidRPr="00D37BE5" w:rsidRDefault="007D745D" w:rsidP="007D745D">
            <w:pPr>
              <w:pStyle w:val="Level1"/>
              <w:numPr>
                <w:ilvl w:val="0"/>
                <w:numId w:val="0"/>
              </w:numPr>
              <w:spacing w:after="0"/>
              <w:ind w:left="57" w:right="74"/>
              <w:jc w:val="left"/>
              <w:rPr>
                <w:rFonts w:asciiTheme="majorHAnsi" w:hAnsiTheme="majorHAnsi" w:cstheme="majorHAnsi"/>
                <w:iCs/>
                <w:sz w:val="20"/>
                <w:szCs w:val="20"/>
              </w:rPr>
            </w:pPr>
          </w:p>
        </w:tc>
      </w:tr>
      <w:tr w:rsidR="00403E77" w14:paraId="3F2B63ED" w14:textId="77777777" w:rsidTr="00B91DA7">
        <w:tc>
          <w:tcPr>
            <w:tcW w:w="846" w:type="dxa"/>
          </w:tcPr>
          <w:p w14:paraId="368041C2"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71678E55"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Do individuals have substantive data protection or privacy rights, e.g. right to access their personal data, right to remedy for breach of their rights?</w:t>
            </w:r>
          </w:p>
          <w:p w14:paraId="2CCC516F"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355CE139"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47390FA3"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7319C870" w14:textId="77777777" w:rsidR="00403E77" w:rsidRPr="00003942" w:rsidRDefault="00403E77" w:rsidP="00403E77">
            <w:pPr>
              <w:tabs>
                <w:tab w:val="left" w:pos="4215"/>
              </w:tabs>
              <w:rPr>
                <w:rFonts w:ascii="Times New Roman" w:hAnsi="Times New Roman" w:cs="Times New Roman"/>
                <w:sz w:val="24"/>
                <w:szCs w:val="24"/>
              </w:rPr>
            </w:pPr>
          </w:p>
        </w:tc>
      </w:tr>
      <w:tr w:rsidR="00403E77" w14:paraId="302A1F76" w14:textId="77777777" w:rsidTr="00B91DA7">
        <w:tc>
          <w:tcPr>
            <w:tcW w:w="846" w:type="dxa"/>
          </w:tcPr>
          <w:p w14:paraId="7EA56305"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29D4B48C"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Are there any specific restrictions on the disclosure of personal data by the data importer to third parties?</w:t>
            </w:r>
          </w:p>
          <w:p w14:paraId="601F30E7"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7A40A27"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5B2633C9"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639D9A02" w14:textId="77777777" w:rsidR="00403E77" w:rsidRPr="00003942" w:rsidRDefault="00403E77" w:rsidP="00403E77">
            <w:pPr>
              <w:tabs>
                <w:tab w:val="left" w:pos="4215"/>
              </w:tabs>
              <w:rPr>
                <w:rFonts w:ascii="Times New Roman" w:hAnsi="Times New Roman" w:cs="Times New Roman"/>
                <w:sz w:val="24"/>
                <w:szCs w:val="24"/>
              </w:rPr>
            </w:pPr>
          </w:p>
        </w:tc>
      </w:tr>
      <w:tr w:rsidR="00403E77" w14:paraId="461B153A" w14:textId="77777777" w:rsidTr="00B91DA7">
        <w:tc>
          <w:tcPr>
            <w:tcW w:w="846" w:type="dxa"/>
          </w:tcPr>
          <w:p w14:paraId="5B05B873"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0581F1AB"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 distinction under data protection or privacy law between citizens or residents and non-citizens or non-residents?</w:t>
            </w:r>
          </w:p>
          <w:p w14:paraId="6520D116"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37021A06"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66AD3AA2"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1EAF4C9E" w14:textId="77777777" w:rsidR="00403E77" w:rsidRPr="00003942" w:rsidRDefault="00403E77" w:rsidP="00403E77">
            <w:pPr>
              <w:tabs>
                <w:tab w:val="left" w:pos="4215"/>
              </w:tabs>
              <w:rPr>
                <w:rFonts w:ascii="Times New Roman" w:hAnsi="Times New Roman" w:cs="Times New Roman"/>
                <w:sz w:val="24"/>
                <w:szCs w:val="24"/>
              </w:rPr>
            </w:pPr>
          </w:p>
        </w:tc>
      </w:tr>
      <w:tr w:rsidR="00403E77" w14:paraId="42308998" w14:textId="77777777" w:rsidTr="00B91DA7">
        <w:tc>
          <w:tcPr>
            <w:tcW w:w="846" w:type="dxa"/>
          </w:tcPr>
          <w:p w14:paraId="180A2505"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583AE737" w14:textId="77777777" w:rsidR="00403E77" w:rsidRDefault="00403E77" w:rsidP="003A2B9D">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an independent data protection regulator with powers of oversight and enforcement?</w:t>
            </w:r>
          </w:p>
          <w:p w14:paraId="66C4FDDF" w14:textId="77777777" w:rsidR="00A258E3" w:rsidRDefault="00A258E3" w:rsidP="003A2B9D">
            <w:pPr>
              <w:pStyle w:val="Level1"/>
              <w:numPr>
                <w:ilvl w:val="0"/>
                <w:numId w:val="0"/>
              </w:numPr>
              <w:spacing w:after="120"/>
              <w:ind w:left="57" w:right="74"/>
              <w:jc w:val="left"/>
              <w:rPr>
                <w:rFonts w:ascii="Times New Roman" w:hAnsi="Times New Roman" w:cs="Times New Roman"/>
                <w:sz w:val="24"/>
                <w:szCs w:val="24"/>
              </w:rPr>
            </w:pPr>
          </w:p>
          <w:p w14:paraId="2E4C4C7F" w14:textId="77777777" w:rsidR="003A2B9D" w:rsidRPr="00403E77" w:rsidRDefault="003A2B9D" w:rsidP="003A2B9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401F80F9"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13A3AC52"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091693CB" w14:textId="77777777" w:rsidR="00403E77" w:rsidRPr="00003942" w:rsidRDefault="00403E77" w:rsidP="00403E77">
            <w:pPr>
              <w:tabs>
                <w:tab w:val="left" w:pos="4215"/>
              </w:tabs>
              <w:rPr>
                <w:rFonts w:ascii="Times New Roman" w:hAnsi="Times New Roman" w:cs="Times New Roman"/>
                <w:sz w:val="24"/>
                <w:szCs w:val="24"/>
              </w:rPr>
            </w:pPr>
          </w:p>
        </w:tc>
      </w:tr>
      <w:tr w:rsidR="00403E77" w14:paraId="30982C9F" w14:textId="77777777" w:rsidTr="00B91DA7">
        <w:tc>
          <w:tcPr>
            <w:tcW w:w="846" w:type="dxa"/>
          </w:tcPr>
          <w:p w14:paraId="5B1B648F"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44EDA1B5" w14:textId="77777777" w:rsidR="00403E77" w:rsidRDefault="00403E77" w:rsidP="003A2B9D">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Can individuals exercise their data protection rights through the judicial system or data protection regulator?</w:t>
            </w:r>
          </w:p>
          <w:p w14:paraId="6B617BD6" w14:textId="77777777" w:rsidR="00A258E3" w:rsidRPr="00403E77" w:rsidRDefault="00A258E3" w:rsidP="003A2B9D">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15D8ADD7"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3491D691"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59E13AC3" w14:textId="77777777" w:rsidR="00403E77" w:rsidRPr="00003942" w:rsidRDefault="00403E77" w:rsidP="00403E77">
            <w:pPr>
              <w:tabs>
                <w:tab w:val="left" w:pos="4215"/>
              </w:tabs>
              <w:rPr>
                <w:rFonts w:ascii="Times New Roman" w:hAnsi="Times New Roman" w:cs="Times New Roman"/>
                <w:sz w:val="24"/>
                <w:szCs w:val="24"/>
              </w:rPr>
            </w:pPr>
          </w:p>
        </w:tc>
      </w:tr>
      <w:tr w:rsidR="00403E77" w14:paraId="133A7B88" w14:textId="77777777" w:rsidTr="00B91DA7">
        <w:tc>
          <w:tcPr>
            <w:tcW w:w="846" w:type="dxa"/>
          </w:tcPr>
          <w:p w14:paraId="58F4AB2C"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3D57A7E7"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 xml:space="preserve">Can breaches of data protection law lead to administrative sanctions or orders, or criminal penalties? </w:t>
            </w:r>
          </w:p>
          <w:p w14:paraId="66D1187D"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7EA56FDD"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2BC1662D"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35798D9C" w14:textId="77777777" w:rsidR="00403E77" w:rsidRPr="00003942" w:rsidRDefault="00403E77" w:rsidP="00403E77">
            <w:pPr>
              <w:tabs>
                <w:tab w:val="left" w:pos="4215"/>
              </w:tabs>
              <w:rPr>
                <w:rFonts w:ascii="Times New Roman" w:hAnsi="Times New Roman" w:cs="Times New Roman"/>
                <w:sz w:val="24"/>
                <w:szCs w:val="24"/>
              </w:rPr>
            </w:pPr>
          </w:p>
        </w:tc>
      </w:tr>
      <w:tr w:rsidR="00403E77" w14:paraId="16BAAB21" w14:textId="77777777" w:rsidTr="00B91DA7">
        <w:tc>
          <w:tcPr>
            <w:tcW w:w="846" w:type="dxa"/>
          </w:tcPr>
          <w:p w14:paraId="45A1CC6C"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6B2C3807"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a legal requirement that any restrictions to fundamental rights and freedoms be necessary and proportionate (e.g. that restrictions are for justified and limited in purpose such as for law enforcement, national security or safeguarding public health)?</w:t>
            </w:r>
          </w:p>
          <w:p w14:paraId="1A6E5ADB" w14:textId="77777777" w:rsidR="00403E77" w:rsidRPr="00403E77" w:rsidRDefault="00403E77"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16A05635"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2017F025"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51647A75" w14:textId="77777777" w:rsidR="00403E77" w:rsidRPr="00003942" w:rsidRDefault="00403E77" w:rsidP="00403E77">
            <w:pPr>
              <w:tabs>
                <w:tab w:val="left" w:pos="4215"/>
              </w:tabs>
              <w:rPr>
                <w:rFonts w:ascii="Times New Roman" w:hAnsi="Times New Roman" w:cs="Times New Roman"/>
                <w:sz w:val="24"/>
                <w:szCs w:val="24"/>
              </w:rPr>
            </w:pPr>
          </w:p>
        </w:tc>
      </w:tr>
      <w:tr w:rsidR="00403E77" w14:paraId="679606A2" w14:textId="77777777" w:rsidTr="00B91DA7">
        <w:tc>
          <w:tcPr>
            <w:tcW w:w="846" w:type="dxa"/>
          </w:tcPr>
          <w:p w14:paraId="1243D58D" w14:textId="77777777" w:rsidR="00403E77" w:rsidRPr="005001D1" w:rsidRDefault="00403E77" w:rsidP="00403E77">
            <w:pPr>
              <w:pStyle w:val="Level3"/>
              <w:numPr>
                <w:ilvl w:val="2"/>
                <w:numId w:val="11"/>
              </w:numPr>
              <w:rPr>
                <w:rFonts w:asciiTheme="majorHAnsi" w:hAnsiTheme="majorHAnsi" w:cstheme="majorHAnsi"/>
                <w:sz w:val="20"/>
                <w:szCs w:val="20"/>
              </w:rPr>
            </w:pPr>
          </w:p>
        </w:tc>
        <w:tc>
          <w:tcPr>
            <w:tcW w:w="3827" w:type="dxa"/>
          </w:tcPr>
          <w:p w14:paraId="4F643D6A"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r w:rsidRPr="00403E77">
              <w:rPr>
                <w:rFonts w:ascii="Times New Roman" w:hAnsi="Times New Roman" w:cs="Times New Roman"/>
                <w:sz w:val="24"/>
                <w:szCs w:val="24"/>
              </w:rPr>
              <w:t>Is there evidence that the law(s) identified above at 1.</w:t>
            </w:r>
            <w:r>
              <w:rPr>
                <w:rFonts w:ascii="Times New Roman" w:hAnsi="Times New Roman" w:cs="Times New Roman"/>
                <w:sz w:val="24"/>
                <w:szCs w:val="24"/>
              </w:rPr>
              <w:t xml:space="preserve">1.1 </w:t>
            </w:r>
            <w:r w:rsidRPr="00403E77">
              <w:rPr>
                <w:rFonts w:ascii="Times New Roman" w:hAnsi="Times New Roman" w:cs="Times New Roman"/>
                <w:sz w:val="24"/>
                <w:szCs w:val="24"/>
              </w:rPr>
              <w:t>are applied in practice?</w:t>
            </w:r>
          </w:p>
          <w:p w14:paraId="5394F861" w14:textId="77777777" w:rsidR="00403E77" w:rsidRDefault="00403E77" w:rsidP="00403E77">
            <w:pPr>
              <w:pStyle w:val="Level1"/>
              <w:numPr>
                <w:ilvl w:val="0"/>
                <w:numId w:val="0"/>
              </w:numPr>
              <w:spacing w:after="120"/>
              <w:ind w:left="57" w:right="74"/>
              <w:jc w:val="left"/>
              <w:rPr>
                <w:rFonts w:ascii="Times New Roman" w:hAnsi="Times New Roman" w:cs="Times New Roman"/>
                <w:sz w:val="24"/>
                <w:szCs w:val="24"/>
              </w:rPr>
            </w:pPr>
          </w:p>
          <w:p w14:paraId="15097828" w14:textId="77777777" w:rsidR="00AE39A3" w:rsidRPr="00403E77" w:rsidRDefault="00AE39A3" w:rsidP="00403E77">
            <w:pPr>
              <w:pStyle w:val="Level1"/>
              <w:numPr>
                <w:ilvl w:val="0"/>
                <w:numId w:val="0"/>
              </w:numPr>
              <w:spacing w:after="120"/>
              <w:ind w:left="57" w:right="74"/>
              <w:jc w:val="left"/>
              <w:rPr>
                <w:rFonts w:ascii="Times New Roman" w:hAnsi="Times New Roman" w:cs="Times New Roman"/>
                <w:sz w:val="24"/>
                <w:szCs w:val="24"/>
              </w:rPr>
            </w:pPr>
          </w:p>
        </w:tc>
        <w:tc>
          <w:tcPr>
            <w:tcW w:w="1134" w:type="dxa"/>
            <w:gridSpan w:val="2"/>
          </w:tcPr>
          <w:p w14:paraId="275364FC" w14:textId="77777777" w:rsidR="00403E77" w:rsidRPr="00003942" w:rsidRDefault="00403E77" w:rsidP="00403E77">
            <w:pPr>
              <w:tabs>
                <w:tab w:val="left" w:pos="4215"/>
              </w:tabs>
              <w:rPr>
                <w:rFonts w:ascii="Times New Roman" w:hAnsi="Times New Roman" w:cs="Times New Roman"/>
                <w:sz w:val="24"/>
                <w:szCs w:val="24"/>
              </w:rPr>
            </w:pPr>
          </w:p>
        </w:tc>
        <w:tc>
          <w:tcPr>
            <w:tcW w:w="2268" w:type="dxa"/>
          </w:tcPr>
          <w:p w14:paraId="4555D1D7" w14:textId="77777777" w:rsidR="00403E77" w:rsidRPr="00003942" w:rsidRDefault="00403E77" w:rsidP="00403E77">
            <w:pPr>
              <w:tabs>
                <w:tab w:val="left" w:pos="4215"/>
              </w:tabs>
              <w:rPr>
                <w:rFonts w:ascii="Times New Roman" w:hAnsi="Times New Roman" w:cs="Times New Roman"/>
                <w:sz w:val="24"/>
                <w:szCs w:val="24"/>
              </w:rPr>
            </w:pPr>
          </w:p>
        </w:tc>
        <w:tc>
          <w:tcPr>
            <w:tcW w:w="2687" w:type="dxa"/>
          </w:tcPr>
          <w:p w14:paraId="08600B16" w14:textId="77777777" w:rsidR="00403E77" w:rsidRPr="00003942" w:rsidRDefault="00403E77" w:rsidP="00403E77">
            <w:pPr>
              <w:tabs>
                <w:tab w:val="left" w:pos="4215"/>
              </w:tabs>
              <w:rPr>
                <w:rFonts w:ascii="Times New Roman" w:hAnsi="Times New Roman" w:cs="Times New Roman"/>
                <w:sz w:val="24"/>
                <w:szCs w:val="24"/>
              </w:rPr>
            </w:pPr>
          </w:p>
        </w:tc>
      </w:tr>
      <w:tr w:rsidR="003A2B9D" w14:paraId="4F4F1A0C" w14:textId="77777777" w:rsidTr="00B91DA7">
        <w:tc>
          <w:tcPr>
            <w:tcW w:w="846" w:type="dxa"/>
            <w:shd w:val="clear" w:color="auto" w:fill="FFF2CC" w:themeFill="accent4" w:themeFillTint="33"/>
          </w:tcPr>
          <w:p w14:paraId="0189652C" w14:textId="77777777" w:rsidR="003A2B9D" w:rsidRPr="003A2B9D" w:rsidRDefault="003A2B9D" w:rsidP="003A2B9D">
            <w:pPr>
              <w:pStyle w:val="Level2"/>
              <w:numPr>
                <w:ilvl w:val="1"/>
                <w:numId w:val="12"/>
              </w:numPr>
              <w:spacing w:before="120" w:after="120"/>
              <w:rPr>
                <w:rFonts w:ascii="Times New Roman" w:hAnsi="Times New Roman" w:cs="Times New Roman"/>
                <w:sz w:val="24"/>
                <w:szCs w:val="24"/>
              </w:rPr>
            </w:pPr>
          </w:p>
        </w:tc>
        <w:tc>
          <w:tcPr>
            <w:tcW w:w="9916" w:type="dxa"/>
            <w:gridSpan w:val="5"/>
            <w:shd w:val="clear" w:color="auto" w:fill="FFF2CC" w:themeFill="accent4" w:themeFillTint="33"/>
          </w:tcPr>
          <w:p w14:paraId="0EFB072E" w14:textId="77777777" w:rsidR="003A2B9D" w:rsidRPr="003A2B9D" w:rsidRDefault="003A2B9D" w:rsidP="003A2B9D">
            <w:pPr>
              <w:pStyle w:val="Level1"/>
              <w:numPr>
                <w:ilvl w:val="0"/>
                <w:numId w:val="0"/>
              </w:numPr>
              <w:spacing w:before="120" w:after="120"/>
              <w:ind w:left="57" w:right="74"/>
              <w:jc w:val="left"/>
              <w:rPr>
                <w:rFonts w:ascii="Times New Roman" w:hAnsi="Times New Roman" w:cs="Times New Roman"/>
                <w:b/>
                <w:sz w:val="24"/>
                <w:szCs w:val="24"/>
              </w:rPr>
            </w:pPr>
            <w:r w:rsidRPr="003A2B9D">
              <w:rPr>
                <w:rFonts w:ascii="Times New Roman" w:hAnsi="Times New Roman" w:cs="Times New Roman"/>
                <w:b/>
                <w:sz w:val="24"/>
                <w:szCs w:val="24"/>
              </w:rPr>
              <w:t xml:space="preserve">Access to Personal Data by Public Authorities </w:t>
            </w:r>
          </w:p>
        </w:tc>
      </w:tr>
      <w:tr w:rsidR="004B3C4F" w14:paraId="728F8DFA" w14:textId="77777777" w:rsidTr="00B91DA7">
        <w:tc>
          <w:tcPr>
            <w:tcW w:w="846" w:type="dxa"/>
          </w:tcPr>
          <w:p w14:paraId="28A71564"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w:t>
            </w:r>
          </w:p>
        </w:tc>
        <w:tc>
          <w:tcPr>
            <w:tcW w:w="3827" w:type="dxa"/>
          </w:tcPr>
          <w:p w14:paraId="2CEC6303" w14:textId="77777777" w:rsidR="004B3C4F" w:rsidRPr="00A258E3" w:rsidRDefault="004B3C4F" w:rsidP="004B3C4F">
            <w:pPr>
              <w:spacing w:after="120"/>
              <w:ind w:left="57" w:right="74"/>
              <w:rPr>
                <w:rFonts w:ascii="Times New Roman" w:hAnsi="Times New Roman" w:cs="Times New Roman"/>
                <w:sz w:val="24"/>
                <w:szCs w:val="24"/>
              </w:rPr>
            </w:pPr>
            <w:r w:rsidRPr="00A258E3">
              <w:rPr>
                <w:rFonts w:ascii="Times New Roman" w:hAnsi="Times New Roman" w:cs="Times New Roman"/>
                <w:sz w:val="24"/>
                <w:szCs w:val="24"/>
              </w:rPr>
              <w:t>Is the Data Importer aware of any applicable laws or practices (e.g. criminal law enforcement, national security intelligence and surveillance</w:t>
            </w:r>
            <w:r w:rsidR="008002E7" w:rsidRPr="00A258E3">
              <w:rPr>
                <w:rFonts w:ascii="Times New Roman" w:hAnsi="Times New Roman" w:cs="Times New Roman"/>
                <w:sz w:val="24"/>
                <w:szCs w:val="24"/>
              </w:rPr>
              <w:t xml:space="preserve">, </w:t>
            </w:r>
            <w:r w:rsidRPr="00A258E3">
              <w:rPr>
                <w:rFonts w:ascii="Times New Roman" w:hAnsi="Times New Roman" w:cs="Times New Roman"/>
                <w:sz w:val="24"/>
                <w:szCs w:val="24"/>
              </w:rPr>
              <w:t xml:space="preserve">regulatory compliance etc.) within the recipient third country that could constitute an obstacle to its ability to comply with appropriate safeguards </w:t>
            </w:r>
            <w:r w:rsidR="00AE39A3" w:rsidRPr="00A258E3">
              <w:rPr>
                <w:rFonts w:ascii="Times New Roman" w:hAnsi="Times New Roman" w:cs="Times New Roman"/>
                <w:sz w:val="24"/>
                <w:szCs w:val="24"/>
              </w:rPr>
              <w:t xml:space="preserve">(i.e. SCC’s) </w:t>
            </w:r>
            <w:r w:rsidR="00525053">
              <w:rPr>
                <w:rFonts w:ascii="Times New Roman" w:hAnsi="Times New Roman" w:cs="Times New Roman"/>
                <w:sz w:val="24"/>
                <w:szCs w:val="24"/>
              </w:rPr>
              <w:t>pursuant to the GDPR</w:t>
            </w:r>
            <w:r w:rsidRPr="00A258E3">
              <w:rPr>
                <w:rFonts w:ascii="Times New Roman" w:hAnsi="Times New Roman" w:cs="Times New Roman"/>
                <w:sz w:val="24"/>
                <w:szCs w:val="24"/>
              </w:rPr>
              <w:t xml:space="preserve">? If so, please explain in the detail what these laws </w:t>
            </w:r>
            <w:r w:rsidR="008002E7" w:rsidRPr="00A258E3">
              <w:rPr>
                <w:rFonts w:ascii="Times New Roman" w:hAnsi="Times New Roman" w:cs="Times New Roman"/>
                <w:sz w:val="24"/>
                <w:szCs w:val="24"/>
              </w:rPr>
              <w:t xml:space="preserve">or practices are and how these </w:t>
            </w:r>
            <w:r w:rsidRPr="00A258E3">
              <w:rPr>
                <w:rFonts w:ascii="Times New Roman" w:hAnsi="Times New Roman" w:cs="Times New Roman"/>
                <w:sz w:val="24"/>
                <w:szCs w:val="24"/>
              </w:rPr>
              <w:t>could impact the Data Importer</w:t>
            </w:r>
            <w:r w:rsidR="00525053">
              <w:rPr>
                <w:rFonts w:ascii="Times New Roman" w:hAnsi="Times New Roman" w:cs="Times New Roman"/>
                <w:sz w:val="24"/>
                <w:szCs w:val="24"/>
              </w:rPr>
              <w:t>’</w:t>
            </w:r>
            <w:r w:rsidRPr="00A258E3">
              <w:rPr>
                <w:rFonts w:ascii="Times New Roman" w:hAnsi="Times New Roman" w:cs="Times New Roman"/>
                <w:sz w:val="24"/>
                <w:szCs w:val="24"/>
              </w:rPr>
              <w:t>s ability to comply.</w:t>
            </w:r>
          </w:p>
          <w:p w14:paraId="039F4116" w14:textId="77777777" w:rsidR="004B3C4F" w:rsidRPr="00A258E3" w:rsidRDefault="004B3C4F" w:rsidP="004B3C4F">
            <w:pPr>
              <w:spacing w:after="120"/>
              <w:ind w:left="57" w:right="74"/>
              <w:rPr>
                <w:rFonts w:ascii="Times New Roman" w:hAnsi="Times New Roman" w:cs="Times New Roman"/>
                <w:sz w:val="24"/>
                <w:szCs w:val="24"/>
              </w:rPr>
            </w:pPr>
          </w:p>
        </w:tc>
        <w:tc>
          <w:tcPr>
            <w:tcW w:w="1134" w:type="dxa"/>
            <w:gridSpan w:val="2"/>
          </w:tcPr>
          <w:p w14:paraId="0F90980D"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925E0E6"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D31978A" w14:textId="77777777" w:rsidR="004B3C4F" w:rsidRPr="00003942" w:rsidRDefault="004B3C4F" w:rsidP="004B3C4F">
            <w:pPr>
              <w:tabs>
                <w:tab w:val="left" w:pos="4215"/>
              </w:tabs>
              <w:rPr>
                <w:rFonts w:ascii="Times New Roman" w:hAnsi="Times New Roman" w:cs="Times New Roman"/>
                <w:sz w:val="24"/>
                <w:szCs w:val="24"/>
              </w:rPr>
            </w:pPr>
          </w:p>
        </w:tc>
      </w:tr>
      <w:tr w:rsidR="004B3C4F" w14:paraId="6D5EDFC0" w14:textId="77777777" w:rsidTr="00B91DA7">
        <w:tc>
          <w:tcPr>
            <w:tcW w:w="846" w:type="dxa"/>
          </w:tcPr>
          <w:p w14:paraId="0846B1F9"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1.2.2</w:t>
            </w:r>
          </w:p>
        </w:tc>
        <w:tc>
          <w:tcPr>
            <w:tcW w:w="3827" w:type="dxa"/>
          </w:tcPr>
          <w:p w14:paraId="1B266491"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Do national intelligence or security services within the recipient third country, operate surveillance programmes?</w:t>
            </w:r>
          </w:p>
          <w:p w14:paraId="2AECD09D" w14:textId="77777777" w:rsidR="004B3C4F" w:rsidRPr="00C236D8" w:rsidRDefault="004B3C4F" w:rsidP="004B3C4F">
            <w:pPr>
              <w:rPr>
                <w:rFonts w:ascii="Times New Roman" w:hAnsi="Times New Roman" w:cs="Times New Roman"/>
                <w:color w:val="FF0000"/>
                <w:sz w:val="24"/>
                <w:szCs w:val="24"/>
              </w:rPr>
            </w:pPr>
          </w:p>
        </w:tc>
        <w:tc>
          <w:tcPr>
            <w:tcW w:w="1134" w:type="dxa"/>
            <w:gridSpan w:val="2"/>
          </w:tcPr>
          <w:p w14:paraId="5A0BEAE1"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163E9D65"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B28F57E" w14:textId="77777777" w:rsidR="004B3C4F" w:rsidRPr="00003942" w:rsidRDefault="004B3C4F" w:rsidP="004B3C4F">
            <w:pPr>
              <w:tabs>
                <w:tab w:val="left" w:pos="4215"/>
              </w:tabs>
              <w:rPr>
                <w:rFonts w:ascii="Times New Roman" w:hAnsi="Times New Roman" w:cs="Times New Roman"/>
                <w:sz w:val="24"/>
                <w:szCs w:val="24"/>
              </w:rPr>
            </w:pPr>
          </w:p>
        </w:tc>
      </w:tr>
      <w:tr w:rsidR="004B3C4F" w14:paraId="587550B2" w14:textId="77777777" w:rsidTr="00B91DA7">
        <w:tc>
          <w:tcPr>
            <w:tcW w:w="846" w:type="dxa"/>
          </w:tcPr>
          <w:p w14:paraId="6BBAC80D"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1.2.3</w:t>
            </w:r>
          </w:p>
        </w:tc>
        <w:tc>
          <w:tcPr>
            <w:tcW w:w="3827" w:type="dxa"/>
          </w:tcPr>
          <w:p w14:paraId="77998BF0"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Can public authorities (e.g. intelligence, law enforcement, defence services, regulatory agencies or other government agencies) within the recipient third country, access or compel disclosure of personal data from the Data Importer? </w:t>
            </w:r>
          </w:p>
          <w:p w14:paraId="589A61B5" w14:textId="77777777" w:rsidR="004B3C4F" w:rsidRPr="00C236D8" w:rsidRDefault="004B3C4F" w:rsidP="004B3C4F">
            <w:pPr>
              <w:rPr>
                <w:rFonts w:ascii="Times New Roman" w:hAnsi="Times New Roman" w:cs="Times New Roman"/>
                <w:color w:val="FF0000"/>
                <w:sz w:val="24"/>
                <w:szCs w:val="24"/>
              </w:rPr>
            </w:pPr>
          </w:p>
        </w:tc>
        <w:tc>
          <w:tcPr>
            <w:tcW w:w="1134" w:type="dxa"/>
            <w:gridSpan w:val="2"/>
          </w:tcPr>
          <w:p w14:paraId="35A34FC5"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5380B70"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621B9D7B" w14:textId="77777777" w:rsidR="004B3C4F" w:rsidRPr="00003942" w:rsidRDefault="004B3C4F" w:rsidP="004B3C4F">
            <w:pPr>
              <w:tabs>
                <w:tab w:val="left" w:pos="4215"/>
              </w:tabs>
              <w:rPr>
                <w:rFonts w:ascii="Times New Roman" w:hAnsi="Times New Roman" w:cs="Times New Roman"/>
                <w:sz w:val="24"/>
                <w:szCs w:val="24"/>
              </w:rPr>
            </w:pPr>
          </w:p>
        </w:tc>
      </w:tr>
      <w:tr w:rsidR="004B3C4F" w14:paraId="41573F82" w14:textId="77777777" w:rsidTr="00B91DA7">
        <w:tc>
          <w:tcPr>
            <w:tcW w:w="846" w:type="dxa"/>
          </w:tcPr>
          <w:p w14:paraId="27A5B4C7"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1.2.4</w:t>
            </w:r>
          </w:p>
        </w:tc>
        <w:tc>
          <w:tcPr>
            <w:tcW w:w="3827" w:type="dxa"/>
          </w:tcPr>
          <w:p w14:paraId="1B14F04A" w14:textId="77777777" w:rsidR="004B3C4F" w:rsidRPr="00525053" w:rsidRDefault="004B3C4F" w:rsidP="004B3C4F">
            <w:pPr>
              <w:ind w:left="57" w:right="74"/>
              <w:rPr>
                <w:rFonts w:ascii="Times New Roman" w:hAnsi="Times New Roman" w:cs="Times New Roman"/>
                <w:sz w:val="24"/>
                <w:szCs w:val="24"/>
              </w:rPr>
            </w:pPr>
            <w:r w:rsidRPr="00525053">
              <w:rPr>
                <w:rFonts w:ascii="Times New Roman" w:hAnsi="Times New Roman" w:cs="Times New Roman"/>
                <w:sz w:val="24"/>
                <w:szCs w:val="24"/>
              </w:rPr>
              <w:t>What personal data can public authorities require an organisation (e.g. the Data Importer) to provide and in what circumstances, e.g. under:</w:t>
            </w:r>
          </w:p>
          <w:p w14:paraId="0D5310FE" w14:textId="77777777" w:rsidR="004B3C4F" w:rsidRPr="00C236D8" w:rsidRDefault="004B3C4F" w:rsidP="004B3C4F">
            <w:pPr>
              <w:ind w:left="57" w:right="74"/>
              <w:rPr>
                <w:rFonts w:ascii="Times New Roman" w:hAnsi="Times New Roman" w:cs="Times New Roman"/>
                <w:sz w:val="24"/>
                <w:szCs w:val="24"/>
              </w:rPr>
            </w:pPr>
          </w:p>
          <w:p w14:paraId="46BF860A" w14:textId="77777777" w:rsidR="004B3C4F" w:rsidRPr="00C236D8" w:rsidRDefault="004B3C4F" w:rsidP="004B3C4F">
            <w:pPr>
              <w:pStyle w:val="ListParagraph"/>
              <w:numPr>
                <w:ilvl w:val="0"/>
                <w:numId w:val="15"/>
              </w:numPr>
              <w:ind w:right="74"/>
              <w:rPr>
                <w:rFonts w:ascii="Times New Roman" w:hAnsi="Times New Roman" w:cs="Times New Roman"/>
                <w:sz w:val="24"/>
                <w:szCs w:val="24"/>
              </w:rPr>
            </w:pPr>
            <w:r w:rsidRPr="00C236D8">
              <w:rPr>
                <w:rFonts w:ascii="Times New Roman" w:hAnsi="Times New Roman" w:cs="Times New Roman"/>
                <w:sz w:val="24"/>
                <w:szCs w:val="24"/>
              </w:rPr>
              <w:t>Any applicable security surveillance regime?</w:t>
            </w:r>
          </w:p>
          <w:p w14:paraId="3C85F617" w14:textId="77777777" w:rsidR="004B3C4F" w:rsidRPr="00C236D8" w:rsidRDefault="004B3C4F" w:rsidP="004B3C4F">
            <w:pPr>
              <w:pStyle w:val="ListParagraph"/>
              <w:numPr>
                <w:ilvl w:val="0"/>
                <w:numId w:val="15"/>
              </w:numPr>
              <w:ind w:right="74"/>
              <w:rPr>
                <w:rFonts w:ascii="Times New Roman" w:hAnsi="Times New Roman" w:cs="Times New Roman"/>
                <w:sz w:val="24"/>
                <w:szCs w:val="24"/>
              </w:rPr>
            </w:pPr>
            <w:r w:rsidRPr="00C236D8">
              <w:rPr>
                <w:rFonts w:ascii="Times New Roman" w:hAnsi="Times New Roman" w:cs="Times New Roman"/>
                <w:sz w:val="24"/>
                <w:szCs w:val="24"/>
              </w:rPr>
              <w:t>In the course of a criminal or regulatory investigation?</w:t>
            </w:r>
          </w:p>
          <w:p w14:paraId="7A3E9CA1" w14:textId="77777777" w:rsidR="004B3C4F" w:rsidRDefault="004B3C4F" w:rsidP="004B3C4F">
            <w:pPr>
              <w:pStyle w:val="ListParagraph"/>
              <w:ind w:left="777" w:right="74"/>
              <w:rPr>
                <w:rFonts w:ascii="Times New Roman" w:hAnsi="Times New Roman" w:cs="Times New Roman"/>
                <w:sz w:val="24"/>
                <w:szCs w:val="24"/>
              </w:rPr>
            </w:pPr>
          </w:p>
          <w:p w14:paraId="4F0BC93E" w14:textId="77777777" w:rsidR="00AE39A3" w:rsidRPr="00C236D8" w:rsidRDefault="00AE39A3" w:rsidP="004B3C4F">
            <w:pPr>
              <w:pStyle w:val="ListParagraph"/>
              <w:ind w:left="777" w:right="74"/>
              <w:rPr>
                <w:rFonts w:ascii="Times New Roman" w:hAnsi="Times New Roman" w:cs="Times New Roman"/>
                <w:sz w:val="24"/>
                <w:szCs w:val="24"/>
              </w:rPr>
            </w:pPr>
          </w:p>
        </w:tc>
        <w:tc>
          <w:tcPr>
            <w:tcW w:w="1134" w:type="dxa"/>
            <w:gridSpan w:val="2"/>
          </w:tcPr>
          <w:p w14:paraId="12343A00"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8A1C9BE"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1C5839E" w14:textId="77777777" w:rsidR="004B3C4F" w:rsidRPr="00003942" w:rsidRDefault="004B3C4F" w:rsidP="004B3C4F">
            <w:pPr>
              <w:tabs>
                <w:tab w:val="left" w:pos="4215"/>
              </w:tabs>
              <w:rPr>
                <w:rFonts w:ascii="Times New Roman" w:hAnsi="Times New Roman" w:cs="Times New Roman"/>
                <w:sz w:val="24"/>
                <w:szCs w:val="24"/>
              </w:rPr>
            </w:pPr>
          </w:p>
        </w:tc>
      </w:tr>
      <w:tr w:rsidR="004B3C4F" w14:paraId="297B75B4" w14:textId="77777777" w:rsidTr="00B91DA7">
        <w:tc>
          <w:tcPr>
            <w:tcW w:w="846" w:type="dxa"/>
          </w:tcPr>
          <w:p w14:paraId="4B2C227C"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1.2.5</w:t>
            </w:r>
          </w:p>
        </w:tc>
        <w:tc>
          <w:tcPr>
            <w:tcW w:w="3827" w:type="dxa"/>
          </w:tcPr>
          <w:p w14:paraId="7733DB17" w14:textId="77777777" w:rsidR="004B3C4F" w:rsidRPr="00525053" w:rsidRDefault="004B3C4F" w:rsidP="004B3C4F">
            <w:pPr>
              <w:spacing w:after="120"/>
              <w:ind w:left="57" w:right="74"/>
              <w:rPr>
                <w:rFonts w:ascii="Times New Roman" w:hAnsi="Times New Roman" w:cs="Times New Roman"/>
                <w:sz w:val="24"/>
                <w:szCs w:val="24"/>
              </w:rPr>
            </w:pPr>
            <w:r w:rsidRPr="00525053">
              <w:rPr>
                <w:rFonts w:ascii="Times New Roman" w:hAnsi="Times New Roman" w:cs="Times New Roman"/>
                <w:sz w:val="24"/>
                <w:szCs w:val="24"/>
              </w:rPr>
              <w:t>Is any public authority access described above in 1.2.2 to 1.2.4 inclusive provided for in law? If so, is the Data Importer within the scope of this law?</w:t>
            </w:r>
          </w:p>
          <w:p w14:paraId="1B68FEB7"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2600619D"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7AD812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56417D94" w14:textId="77777777" w:rsidR="004B3C4F" w:rsidRPr="00003942" w:rsidRDefault="004B3C4F" w:rsidP="004B3C4F">
            <w:pPr>
              <w:tabs>
                <w:tab w:val="left" w:pos="4215"/>
              </w:tabs>
              <w:rPr>
                <w:rFonts w:ascii="Times New Roman" w:hAnsi="Times New Roman" w:cs="Times New Roman"/>
                <w:sz w:val="24"/>
                <w:szCs w:val="24"/>
              </w:rPr>
            </w:pPr>
          </w:p>
        </w:tc>
      </w:tr>
      <w:tr w:rsidR="004B3C4F" w14:paraId="62B654D2" w14:textId="77777777" w:rsidTr="00B91DA7">
        <w:tc>
          <w:tcPr>
            <w:tcW w:w="846" w:type="dxa"/>
          </w:tcPr>
          <w:p w14:paraId="005F3331"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1.2.6</w:t>
            </w:r>
          </w:p>
        </w:tc>
        <w:tc>
          <w:tcPr>
            <w:tcW w:w="3827" w:type="dxa"/>
          </w:tcPr>
          <w:p w14:paraId="5F3B8623" w14:textId="77777777" w:rsidR="004B3C4F" w:rsidRDefault="004B3C4F" w:rsidP="004B3C4F">
            <w:pPr>
              <w:spacing w:after="120"/>
              <w:ind w:left="57" w:right="74"/>
              <w:rPr>
                <w:rFonts w:ascii="Times New Roman" w:hAnsi="Times New Roman" w:cs="Times New Roman"/>
                <w:color w:val="FF0000"/>
                <w:sz w:val="24"/>
                <w:szCs w:val="24"/>
              </w:rPr>
            </w:pPr>
            <w:r w:rsidRPr="00C236D8">
              <w:rPr>
                <w:rFonts w:ascii="Times New Roman" w:hAnsi="Times New Roman" w:cs="Times New Roman"/>
                <w:sz w:val="24"/>
                <w:szCs w:val="24"/>
              </w:rPr>
              <w:t xml:space="preserve">Does the access noted in 1.2.4 </w:t>
            </w:r>
            <w:r w:rsidR="008002E7">
              <w:rPr>
                <w:rFonts w:ascii="Times New Roman" w:hAnsi="Times New Roman" w:cs="Times New Roman"/>
                <w:sz w:val="24"/>
                <w:szCs w:val="24"/>
              </w:rPr>
              <w:t>include personal data that the Data E</w:t>
            </w:r>
            <w:r w:rsidRPr="00C236D8">
              <w:rPr>
                <w:rFonts w:ascii="Times New Roman" w:hAnsi="Times New Roman" w:cs="Times New Roman"/>
                <w:sz w:val="24"/>
                <w:szCs w:val="24"/>
              </w:rPr>
              <w:t xml:space="preserve">xporter (i.e. the ‘HSE’) </w:t>
            </w:r>
            <w:r w:rsidR="008002E7">
              <w:rPr>
                <w:rFonts w:ascii="Times New Roman" w:hAnsi="Times New Roman" w:cs="Times New Roman"/>
                <w:sz w:val="24"/>
                <w:szCs w:val="24"/>
              </w:rPr>
              <w:t>will transfer to the Data I</w:t>
            </w:r>
            <w:r w:rsidRPr="00C236D8">
              <w:rPr>
                <w:rFonts w:ascii="Times New Roman" w:hAnsi="Times New Roman" w:cs="Times New Roman"/>
                <w:sz w:val="24"/>
                <w:szCs w:val="24"/>
              </w:rPr>
              <w:t>mporter?</w:t>
            </w:r>
            <w:r w:rsidRPr="00525053">
              <w:rPr>
                <w:rFonts w:ascii="Times New Roman" w:hAnsi="Times New Roman" w:cs="Times New Roman"/>
                <w:sz w:val="24"/>
                <w:szCs w:val="24"/>
              </w:rPr>
              <w:t xml:space="preserve"> If so, what risks are posed to the security of personal data which the Data Exporter (i.e. the ‘HSE’) transfers to the Data Importer?</w:t>
            </w:r>
          </w:p>
          <w:p w14:paraId="0995D46C" w14:textId="77777777" w:rsidR="00AE39A3" w:rsidRPr="00C236D8" w:rsidRDefault="00AE39A3" w:rsidP="004B3C4F">
            <w:pPr>
              <w:spacing w:after="120"/>
              <w:ind w:left="57" w:right="74"/>
              <w:rPr>
                <w:rFonts w:ascii="Times New Roman" w:hAnsi="Times New Roman" w:cs="Times New Roman"/>
                <w:sz w:val="24"/>
                <w:szCs w:val="24"/>
              </w:rPr>
            </w:pPr>
          </w:p>
        </w:tc>
        <w:tc>
          <w:tcPr>
            <w:tcW w:w="1134" w:type="dxa"/>
            <w:gridSpan w:val="2"/>
          </w:tcPr>
          <w:p w14:paraId="5402DDB8"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D00B550"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6F386CE4" w14:textId="77777777" w:rsidR="004B3C4F" w:rsidRPr="00003942" w:rsidRDefault="004B3C4F" w:rsidP="004B3C4F">
            <w:pPr>
              <w:tabs>
                <w:tab w:val="left" w:pos="4215"/>
              </w:tabs>
              <w:rPr>
                <w:rFonts w:ascii="Times New Roman" w:hAnsi="Times New Roman" w:cs="Times New Roman"/>
                <w:sz w:val="24"/>
                <w:szCs w:val="24"/>
              </w:rPr>
            </w:pPr>
          </w:p>
        </w:tc>
      </w:tr>
      <w:tr w:rsidR="004B3C4F" w14:paraId="48D3D49E" w14:textId="77777777" w:rsidTr="00B91DA7">
        <w:tc>
          <w:tcPr>
            <w:tcW w:w="846" w:type="dxa"/>
          </w:tcPr>
          <w:p w14:paraId="07E0EF02"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1.2.7</w:t>
            </w:r>
          </w:p>
        </w:tc>
        <w:tc>
          <w:tcPr>
            <w:tcW w:w="3827" w:type="dxa"/>
          </w:tcPr>
          <w:p w14:paraId="5B3DD6B9"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What limitations in law and/or practice are imposed on such requests by public authorities?</w:t>
            </w:r>
          </w:p>
          <w:p w14:paraId="6E635D7B"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7506358F"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A41B526"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5CF3292" w14:textId="77777777" w:rsidR="004B3C4F" w:rsidRPr="00003942" w:rsidRDefault="004B3C4F" w:rsidP="004B3C4F">
            <w:pPr>
              <w:tabs>
                <w:tab w:val="left" w:pos="4215"/>
              </w:tabs>
              <w:rPr>
                <w:rFonts w:ascii="Times New Roman" w:hAnsi="Times New Roman" w:cs="Times New Roman"/>
                <w:sz w:val="24"/>
                <w:szCs w:val="24"/>
              </w:rPr>
            </w:pPr>
          </w:p>
        </w:tc>
      </w:tr>
      <w:tr w:rsidR="004B3C4F" w14:paraId="4A6D559C" w14:textId="77777777" w:rsidTr="00B91DA7">
        <w:tc>
          <w:tcPr>
            <w:tcW w:w="846" w:type="dxa"/>
          </w:tcPr>
          <w:p w14:paraId="0190997A"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1.2.8</w:t>
            </w:r>
          </w:p>
        </w:tc>
        <w:tc>
          <w:tcPr>
            <w:tcW w:w="3827" w:type="dxa"/>
          </w:tcPr>
          <w:p w14:paraId="235C9C43"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Is there evidence of surveillance authorities in the third country accessing large volumes of personal data?</w:t>
            </w:r>
          </w:p>
          <w:p w14:paraId="32E37FFF"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5CB22DD1"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A949AC2"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201CEF4" w14:textId="77777777" w:rsidR="004B3C4F" w:rsidRPr="00003942" w:rsidRDefault="004B3C4F" w:rsidP="004B3C4F">
            <w:pPr>
              <w:tabs>
                <w:tab w:val="left" w:pos="4215"/>
              </w:tabs>
              <w:rPr>
                <w:rFonts w:ascii="Times New Roman" w:hAnsi="Times New Roman" w:cs="Times New Roman"/>
                <w:sz w:val="24"/>
                <w:szCs w:val="24"/>
              </w:rPr>
            </w:pPr>
          </w:p>
        </w:tc>
      </w:tr>
      <w:tr w:rsidR="004B3C4F" w14:paraId="46A888D6" w14:textId="77777777" w:rsidTr="00B91DA7">
        <w:tc>
          <w:tcPr>
            <w:tcW w:w="846" w:type="dxa"/>
          </w:tcPr>
          <w:p w14:paraId="5F7A1BF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1.2.9</w:t>
            </w:r>
          </w:p>
        </w:tc>
        <w:tc>
          <w:tcPr>
            <w:tcW w:w="3827" w:type="dxa"/>
          </w:tcPr>
          <w:p w14:paraId="6A8F817C"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 xml:space="preserve">Are surveillance operations / operators in the third country subject to audit or oversight for compliance? </w:t>
            </w:r>
          </w:p>
          <w:p w14:paraId="1E675913"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7DD0FE5F"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5BB85D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60B32CC" w14:textId="77777777" w:rsidR="004B3C4F" w:rsidRPr="00003942" w:rsidRDefault="004B3C4F" w:rsidP="004B3C4F">
            <w:pPr>
              <w:tabs>
                <w:tab w:val="left" w:pos="4215"/>
              </w:tabs>
              <w:rPr>
                <w:rFonts w:ascii="Times New Roman" w:hAnsi="Times New Roman" w:cs="Times New Roman"/>
                <w:sz w:val="24"/>
                <w:szCs w:val="24"/>
              </w:rPr>
            </w:pPr>
          </w:p>
        </w:tc>
      </w:tr>
      <w:tr w:rsidR="004B3C4F" w14:paraId="40D341CC" w14:textId="77777777" w:rsidTr="00B91DA7">
        <w:tc>
          <w:tcPr>
            <w:tcW w:w="846" w:type="dxa"/>
          </w:tcPr>
          <w:p w14:paraId="4A96539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1.2.10</w:t>
            </w:r>
          </w:p>
        </w:tc>
        <w:tc>
          <w:tcPr>
            <w:tcW w:w="3827" w:type="dxa"/>
          </w:tcPr>
          <w:p w14:paraId="04114CCE" w14:textId="77777777" w:rsidR="004B3C4F" w:rsidRPr="00C236D8" w:rsidRDefault="004B3C4F" w:rsidP="004B3C4F">
            <w:pPr>
              <w:spacing w:after="120"/>
              <w:ind w:left="57" w:right="74"/>
              <w:rPr>
                <w:rFonts w:ascii="Times New Roman" w:hAnsi="Times New Roman" w:cs="Times New Roman"/>
                <w:sz w:val="24"/>
                <w:szCs w:val="24"/>
              </w:rPr>
            </w:pPr>
            <w:r w:rsidRPr="00C236D8">
              <w:rPr>
                <w:rFonts w:ascii="Times New Roman" w:hAnsi="Times New Roman" w:cs="Times New Roman"/>
                <w:sz w:val="24"/>
                <w:szCs w:val="24"/>
              </w:rPr>
              <w:t>Can individuals challenge, before a judicial or other independent tribunal, access to their personal data by public authorities, including for surveillance measures?</w:t>
            </w:r>
          </w:p>
          <w:p w14:paraId="26BC2DDD" w14:textId="77777777" w:rsidR="004B3C4F" w:rsidRPr="00C236D8" w:rsidRDefault="004B3C4F" w:rsidP="004B3C4F">
            <w:pPr>
              <w:spacing w:after="120"/>
              <w:ind w:left="57" w:right="74"/>
              <w:rPr>
                <w:rFonts w:ascii="Times New Roman" w:hAnsi="Times New Roman" w:cs="Times New Roman"/>
                <w:sz w:val="24"/>
                <w:szCs w:val="24"/>
              </w:rPr>
            </w:pPr>
          </w:p>
        </w:tc>
        <w:tc>
          <w:tcPr>
            <w:tcW w:w="1134" w:type="dxa"/>
            <w:gridSpan w:val="2"/>
          </w:tcPr>
          <w:p w14:paraId="1C384583"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5CF7E58"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42EC1F1" w14:textId="77777777" w:rsidR="004B3C4F" w:rsidRPr="00003942" w:rsidRDefault="004B3C4F" w:rsidP="004B3C4F">
            <w:pPr>
              <w:tabs>
                <w:tab w:val="left" w:pos="4215"/>
              </w:tabs>
              <w:rPr>
                <w:rFonts w:ascii="Times New Roman" w:hAnsi="Times New Roman" w:cs="Times New Roman"/>
                <w:sz w:val="24"/>
                <w:szCs w:val="24"/>
              </w:rPr>
            </w:pPr>
          </w:p>
        </w:tc>
      </w:tr>
      <w:tr w:rsidR="004B3C4F" w14:paraId="13447746" w14:textId="77777777" w:rsidTr="00B91DA7">
        <w:tc>
          <w:tcPr>
            <w:tcW w:w="846" w:type="dxa"/>
          </w:tcPr>
          <w:p w14:paraId="039003B5"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1.2.11</w:t>
            </w:r>
          </w:p>
        </w:tc>
        <w:tc>
          <w:tcPr>
            <w:tcW w:w="3827" w:type="dxa"/>
          </w:tcPr>
          <w:p w14:paraId="46EAED00" w14:textId="77777777" w:rsidR="004B3C4F" w:rsidRPr="00525053" w:rsidRDefault="004B3C4F" w:rsidP="004B3C4F">
            <w:pPr>
              <w:spacing w:after="60"/>
              <w:ind w:left="57" w:right="74"/>
              <w:rPr>
                <w:rFonts w:ascii="Times New Roman" w:hAnsi="Times New Roman" w:cs="Times New Roman"/>
                <w:sz w:val="24"/>
                <w:szCs w:val="24"/>
              </w:rPr>
            </w:pPr>
            <w:r w:rsidRPr="00525053">
              <w:rPr>
                <w:rFonts w:ascii="Times New Roman" w:hAnsi="Times New Roman" w:cs="Times New Roman"/>
                <w:sz w:val="24"/>
                <w:szCs w:val="24"/>
              </w:rPr>
              <w:t>Has the Data Importer ever been subject to a request (including by request, court order or other form of access) from public authorities within the recipient third country for access to EEA</w:t>
            </w:r>
            <w:r w:rsidR="00525053" w:rsidRPr="00525053">
              <w:rPr>
                <w:rFonts w:ascii="Times New Roman" w:hAnsi="Times New Roman" w:cs="Times New Roman"/>
                <w:sz w:val="24"/>
                <w:szCs w:val="24"/>
              </w:rPr>
              <w:t xml:space="preserve"> personal</w:t>
            </w:r>
            <w:r w:rsidRPr="00525053">
              <w:rPr>
                <w:rFonts w:ascii="Times New Roman" w:hAnsi="Times New Roman" w:cs="Times New Roman"/>
                <w:sz w:val="24"/>
                <w:szCs w:val="24"/>
              </w:rPr>
              <w:t xml:space="preserve"> data? If so, how often and by whom?</w:t>
            </w:r>
          </w:p>
          <w:p w14:paraId="3D930652" w14:textId="77777777" w:rsidR="004B3C4F" w:rsidRPr="00525053" w:rsidRDefault="004B3C4F" w:rsidP="004B3C4F">
            <w:pPr>
              <w:spacing w:after="120"/>
              <w:ind w:right="74"/>
              <w:rPr>
                <w:rFonts w:ascii="Times New Roman" w:hAnsi="Times New Roman" w:cs="Times New Roman"/>
                <w:sz w:val="24"/>
                <w:szCs w:val="24"/>
              </w:rPr>
            </w:pPr>
            <w:r w:rsidRPr="00525053">
              <w:rPr>
                <w:rFonts w:ascii="Times New Roman" w:hAnsi="Times New Roman" w:cs="Times New Roman"/>
                <w:sz w:val="24"/>
                <w:szCs w:val="24"/>
              </w:rPr>
              <w:t xml:space="preserve"> [</w:t>
            </w:r>
            <w:r w:rsidRPr="00525053">
              <w:rPr>
                <w:rFonts w:ascii="Times New Roman" w:hAnsi="Times New Roman" w:cs="Times New Roman"/>
                <w:i/>
                <w:sz w:val="24"/>
                <w:szCs w:val="24"/>
              </w:rPr>
              <w:t>Documented evidence (e.g. records of public authority requests) should be provided by the data importer where available</w:t>
            </w:r>
            <w:r w:rsidRPr="00525053">
              <w:rPr>
                <w:rFonts w:ascii="Times New Roman" w:hAnsi="Times New Roman" w:cs="Times New Roman"/>
                <w:sz w:val="24"/>
                <w:szCs w:val="24"/>
              </w:rPr>
              <w:t>]</w:t>
            </w:r>
          </w:p>
          <w:p w14:paraId="4C665227" w14:textId="77777777" w:rsidR="004B3C4F" w:rsidRDefault="004B3C4F" w:rsidP="004B3C4F">
            <w:pPr>
              <w:spacing w:after="120"/>
              <w:ind w:left="57" w:right="74"/>
              <w:rPr>
                <w:rFonts w:ascii="Times New Roman" w:hAnsi="Times New Roman" w:cs="Times New Roman"/>
                <w:sz w:val="24"/>
                <w:szCs w:val="24"/>
              </w:rPr>
            </w:pPr>
          </w:p>
          <w:p w14:paraId="0C6A7E42" w14:textId="77777777" w:rsidR="00AE39A3" w:rsidRPr="00C236D8" w:rsidRDefault="00AE39A3" w:rsidP="004B3C4F">
            <w:pPr>
              <w:spacing w:after="120"/>
              <w:ind w:left="57" w:right="74"/>
              <w:rPr>
                <w:rFonts w:ascii="Times New Roman" w:hAnsi="Times New Roman" w:cs="Times New Roman"/>
                <w:sz w:val="24"/>
                <w:szCs w:val="24"/>
              </w:rPr>
            </w:pPr>
          </w:p>
        </w:tc>
        <w:tc>
          <w:tcPr>
            <w:tcW w:w="1134" w:type="dxa"/>
            <w:gridSpan w:val="2"/>
          </w:tcPr>
          <w:p w14:paraId="6C7A6684"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EBBCD2A"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5BA9DCB" w14:textId="77777777" w:rsidR="004B3C4F" w:rsidRPr="00003942" w:rsidRDefault="004B3C4F" w:rsidP="004B3C4F">
            <w:pPr>
              <w:tabs>
                <w:tab w:val="left" w:pos="4215"/>
              </w:tabs>
              <w:rPr>
                <w:rFonts w:ascii="Times New Roman" w:hAnsi="Times New Roman" w:cs="Times New Roman"/>
                <w:sz w:val="24"/>
                <w:szCs w:val="24"/>
              </w:rPr>
            </w:pPr>
          </w:p>
        </w:tc>
      </w:tr>
      <w:tr w:rsidR="004B3C4F" w14:paraId="6DA54691" w14:textId="77777777" w:rsidTr="00B91DA7">
        <w:tc>
          <w:tcPr>
            <w:tcW w:w="846" w:type="dxa"/>
          </w:tcPr>
          <w:p w14:paraId="44A07C17"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1.2.12</w:t>
            </w:r>
          </w:p>
        </w:tc>
        <w:tc>
          <w:tcPr>
            <w:tcW w:w="3827" w:type="dxa"/>
          </w:tcPr>
          <w:p w14:paraId="5BC55904"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Could the Data Importer be subject to a request from public authorities within the recipient third country, for access to data held within the EEA by the Data Importer?</w:t>
            </w:r>
          </w:p>
          <w:p w14:paraId="3CF4E66A" w14:textId="77777777" w:rsidR="004B3C4F" w:rsidRDefault="004B3C4F" w:rsidP="004B3C4F">
            <w:pPr>
              <w:rPr>
                <w:rFonts w:ascii="Times New Roman" w:hAnsi="Times New Roman" w:cs="Times New Roman"/>
                <w:color w:val="FF0000"/>
                <w:sz w:val="24"/>
                <w:szCs w:val="24"/>
              </w:rPr>
            </w:pPr>
          </w:p>
          <w:p w14:paraId="1A3842EE" w14:textId="77777777" w:rsidR="008002E7" w:rsidRPr="00C236D8" w:rsidRDefault="008002E7" w:rsidP="004B3C4F">
            <w:pPr>
              <w:rPr>
                <w:rFonts w:ascii="Times New Roman" w:hAnsi="Times New Roman" w:cs="Times New Roman"/>
                <w:color w:val="FF0000"/>
                <w:sz w:val="24"/>
                <w:szCs w:val="24"/>
              </w:rPr>
            </w:pPr>
          </w:p>
        </w:tc>
        <w:tc>
          <w:tcPr>
            <w:tcW w:w="1134" w:type="dxa"/>
            <w:gridSpan w:val="2"/>
          </w:tcPr>
          <w:p w14:paraId="7B6C76CE"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0B16AE95"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0034336B" w14:textId="77777777" w:rsidR="004B3C4F" w:rsidRPr="00003942" w:rsidRDefault="004B3C4F" w:rsidP="004B3C4F">
            <w:pPr>
              <w:tabs>
                <w:tab w:val="left" w:pos="4215"/>
              </w:tabs>
              <w:rPr>
                <w:rFonts w:ascii="Times New Roman" w:hAnsi="Times New Roman" w:cs="Times New Roman"/>
                <w:sz w:val="24"/>
                <w:szCs w:val="24"/>
              </w:rPr>
            </w:pPr>
          </w:p>
        </w:tc>
      </w:tr>
      <w:tr w:rsidR="004B3C4F" w14:paraId="3604C8CA" w14:textId="77777777" w:rsidTr="00B91DA7">
        <w:tc>
          <w:tcPr>
            <w:tcW w:w="846" w:type="dxa"/>
          </w:tcPr>
          <w:p w14:paraId="78911971"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1.2.13</w:t>
            </w:r>
          </w:p>
        </w:tc>
        <w:tc>
          <w:tcPr>
            <w:tcW w:w="3827" w:type="dxa"/>
          </w:tcPr>
          <w:p w14:paraId="7189FA82"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Does the Data Importer have a documented public authority access policy? If </w:t>
            </w:r>
            <w:r w:rsidR="008002E7" w:rsidRPr="00525053">
              <w:rPr>
                <w:rFonts w:ascii="Times New Roman" w:hAnsi="Times New Roman" w:cs="Times New Roman"/>
                <w:sz w:val="24"/>
                <w:szCs w:val="24"/>
              </w:rPr>
              <w:t xml:space="preserve">so, </w:t>
            </w:r>
            <w:r w:rsidRPr="00525053">
              <w:rPr>
                <w:rFonts w:ascii="Times New Roman" w:hAnsi="Times New Roman" w:cs="Times New Roman"/>
                <w:sz w:val="24"/>
                <w:szCs w:val="24"/>
              </w:rPr>
              <w:t>provide a copy of the policy.</w:t>
            </w:r>
          </w:p>
          <w:p w14:paraId="555C542C" w14:textId="77777777" w:rsidR="004B3C4F" w:rsidRPr="00525053" w:rsidRDefault="004B3C4F" w:rsidP="004B3C4F">
            <w:pPr>
              <w:rPr>
                <w:rFonts w:ascii="Times New Roman" w:hAnsi="Times New Roman" w:cs="Times New Roman"/>
                <w:sz w:val="24"/>
                <w:szCs w:val="24"/>
              </w:rPr>
            </w:pPr>
          </w:p>
          <w:p w14:paraId="5215FB11" w14:textId="77777777" w:rsidR="00AE39A3" w:rsidRPr="00525053" w:rsidRDefault="00AE39A3" w:rsidP="004B3C4F">
            <w:pPr>
              <w:rPr>
                <w:rFonts w:ascii="Times New Roman" w:hAnsi="Times New Roman" w:cs="Times New Roman"/>
                <w:sz w:val="24"/>
                <w:szCs w:val="24"/>
              </w:rPr>
            </w:pPr>
          </w:p>
        </w:tc>
        <w:tc>
          <w:tcPr>
            <w:tcW w:w="1134" w:type="dxa"/>
            <w:gridSpan w:val="2"/>
          </w:tcPr>
          <w:p w14:paraId="304DA846"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E3D4AE4"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006ECEEB" w14:textId="77777777" w:rsidR="004B3C4F" w:rsidRPr="00003942" w:rsidRDefault="004B3C4F" w:rsidP="004B3C4F">
            <w:pPr>
              <w:tabs>
                <w:tab w:val="left" w:pos="4215"/>
              </w:tabs>
              <w:rPr>
                <w:rFonts w:ascii="Times New Roman" w:hAnsi="Times New Roman" w:cs="Times New Roman"/>
                <w:sz w:val="24"/>
                <w:szCs w:val="24"/>
              </w:rPr>
            </w:pPr>
          </w:p>
        </w:tc>
      </w:tr>
      <w:tr w:rsidR="004B3C4F" w14:paraId="620E2319" w14:textId="77777777" w:rsidTr="00B91DA7">
        <w:tc>
          <w:tcPr>
            <w:tcW w:w="846" w:type="dxa"/>
          </w:tcPr>
          <w:p w14:paraId="7097C8CB"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1.2.14</w:t>
            </w:r>
          </w:p>
        </w:tc>
        <w:tc>
          <w:tcPr>
            <w:tcW w:w="3827" w:type="dxa"/>
          </w:tcPr>
          <w:p w14:paraId="09FF1021"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Does the Data Importer refuse access requests from public authorities within the recipient third country, unless the request is a mandatory compulsion order or where the Data Exporter has provided their written consent?</w:t>
            </w:r>
          </w:p>
          <w:p w14:paraId="191A898C" w14:textId="77777777" w:rsidR="00AE39A3" w:rsidRPr="00525053" w:rsidRDefault="00AE39A3" w:rsidP="004B3C4F">
            <w:pPr>
              <w:rPr>
                <w:rFonts w:ascii="Times New Roman" w:hAnsi="Times New Roman" w:cs="Times New Roman"/>
                <w:sz w:val="24"/>
                <w:szCs w:val="24"/>
              </w:rPr>
            </w:pPr>
          </w:p>
          <w:p w14:paraId="2A1B853F" w14:textId="77777777" w:rsidR="004B3C4F" w:rsidRPr="00525053" w:rsidRDefault="004B3C4F" w:rsidP="004B3C4F">
            <w:pPr>
              <w:rPr>
                <w:rFonts w:ascii="Times New Roman" w:hAnsi="Times New Roman" w:cs="Times New Roman"/>
                <w:sz w:val="24"/>
                <w:szCs w:val="24"/>
              </w:rPr>
            </w:pPr>
          </w:p>
        </w:tc>
        <w:tc>
          <w:tcPr>
            <w:tcW w:w="1134" w:type="dxa"/>
            <w:gridSpan w:val="2"/>
          </w:tcPr>
          <w:p w14:paraId="7CD37D00"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586F7544"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46F28CBE" w14:textId="77777777" w:rsidR="004B3C4F" w:rsidRPr="00003942" w:rsidRDefault="004B3C4F" w:rsidP="004B3C4F">
            <w:pPr>
              <w:tabs>
                <w:tab w:val="left" w:pos="4215"/>
              </w:tabs>
              <w:rPr>
                <w:rFonts w:ascii="Times New Roman" w:hAnsi="Times New Roman" w:cs="Times New Roman"/>
                <w:sz w:val="24"/>
                <w:szCs w:val="24"/>
              </w:rPr>
            </w:pPr>
          </w:p>
        </w:tc>
      </w:tr>
      <w:tr w:rsidR="004B3C4F" w14:paraId="33FD9E86" w14:textId="77777777" w:rsidTr="00B91DA7">
        <w:tc>
          <w:tcPr>
            <w:tcW w:w="846" w:type="dxa"/>
          </w:tcPr>
          <w:p w14:paraId="53655A43"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1.2.15</w:t>
            </w:r>
          </w:p>
        </w:tc>
        <w:tc>
          <w:tcPr>
            <w:tcW w:w="3827" w:type="dxa"/>
          </w:tcPr>
          <w:p w14:paraId="7244908E"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Will the Data Importer notify the Data Exporter about any requests from Public authorities within the recipient third country for access to data which they received from the Data Exporter, unless legally prohibited to do so?</w:t>
            </w:r>
          </w:p>
          <w:p w14:paraId="4B6A9E15" w14:textId="77777777" w:rsidR="008002E7" w:rsidRPr="00525053" w:rsidRDefault="008002E7" w:rsidP="004B3C4F">
            <w:pPr>
              <w:rPr>
                <w:rFonts w:ascii="Times New Roman" w:hAnsi="Times New Roman" w:cs="Times New Roman"/>
                <w:sz w:val="24"/>
                <w:szCs w:val="24"/>
              </w:rPr>
            </w:pPr>
          </w:p>
          <w:p w14:paraId="543F6744" w14:textId="77777777" w:rsidR="008002E7" w:rsidRPr="00525053" w:rsidRDefault="008002E7" w:rsidP="004B3C4F">
            <w:pPr>
              <w:rPr>
                <w:rFonts w:ascii="Times New Roman" w:hAnsi="Times New Roman" w:cs="Times New Roman"/>
                <w:sz w:val="24"/>
                <w:szCs w:val="24"/>
              </w:rPr>
            </w:pPr>
          </w:p>
        </w:tc>
        <w:tc>
          <w:tcPr>
            <w:tcW w:w="1134" w:type="dxa"/>
            <w:gridSpan w:val="2"/>
          </w:tcPr>
          <w:p w14:paraId="1F697B2A"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2CA6BD78"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13BF7BD0" w14:textId="77777777" w:rsidR="004B3C4F" w:rsidRPr="00003942" w:rsidRDefault="004B3C4F" w:rsidP="004B3C4F">
            <w:pPr>
              <w:tabs>
                <w:tab w:val="left" w:pos="4215"/>
              </w:tabs>
              <w:rPr>
                <w:rFonts w:ascii="Times New Roman" w:hAnsi="Times New Roman" w:cs="Times New Roman"/>
                <w:sz w:val="24"/>
                <w:szCs w:val="24"/>
              </w:rPr>
            </w:pPr>
          </w:p>
        </w:tc>
      </w:tr>
      <w:tr w:rsidR="004B3C4F" w14:paraId="52B82117" w14:textId="77777777" w:rsidTr="00B91DA7">
        <w:tc>
          <w:tcPr>
            <w:tcW w:w="846" w:type="dxa"/>
          </w:tcPr>
          <w:p w14:paraId="23B74ADB" w14:textId="77777777" w:rsidR="004B3C4F"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1.2.16</w:t>
            </w:r>
          </w:p>
        </w:tc>
        <w:tc>
          <w:tcPr>
            <w:tcW w:w="3827" w:type="dxa"/>
          </w:tcPr>
          <w:p w14:paraId="49BF74AC" w14:textId="77777777" w:rsidR="00AA5E6A" w:rsidRPr="00525053" w:rsidRDefault="004B3C4F" w:rsidP="004B3C4F">
            <w:pPr>
              <w:rPr>
                <w:rFonts w:ascii="Times New Roman" w:hAnsi="Times New Roman" w:cs="Times New Roman"/>
                <w:sz w:val="24"/>
                <w:szCs w:val="24"/>
              </w:rPr>
            </w:pPr>
            <w:r w:rsidRPr="00525053">
              <w:rPr>
                <w:rFonts w:ascii="Times New Roman" w:hAnsi="Times New Roman" w:cs="Times New Roman"/>
                <w:sz w:val="24"/>
                <w:szCs w:val="24"/>
              </w:rPr>
              <w:t xml:space="preserve">Does the Data Importer publish any transparency reports that set out the number </w:t>
            </w:r>
            <w:r w:rsidR="00AA5E6A" w:rsidRPr="00525053">
              <w:rPr>
                <w:rFonts w:ascii="Times New Roman" w:hAnsi="Times New Roman" w:cs="Times New Roman"/>
                <w:sz w:val="24"/>
                <w:szCs w:val="24"/>
              </w:rPr>
              <w:t>of access requests or demands for data disclosure it has received from public authorities</w:t>
            </w:r>
            <w:r w:rsidR="00525053" w:rsidRPr="00525053">
              <w:rPr>
                <w:rFonts w:ascii="Times New Roman" w:hAnsi="Times New Roman" w:cs="Times New Roman"/>
                <w:sz w:val="24"/>
                <w:szCs w:val="24"/>
              </w:rPr>
              <w:t>?</w:t>
            </w:r>
          </w:p>
          <w:p w14:paraId="50EBBE67" w14:textId="77777777" w:rsidR="00AA5E6A" w:rsidRPr="00525053" w:rsidRDefault="00AA5E6A" w:rsidP="004B3C4F">
            <w:pPr>
              <w:rPr>
                <w:rFonts w:ascii="Times New Roman" w:hAnsi="Times New Roman" w:cs="Times New Roman"/>
                <w:sz w:val="24"/>
                <w:szCs w:val="24"/>
              </w:rPr>
            </w:pPr>
          </w:p>
          <w:p w14:paraId="7EF4600A" w14:textId="77777777" w:rsidR="008002E7" w:rsidRPr="00525053" w:rsidRDefault="008002E7" w:rsidP="004B3C4F">
            <w:pPr>
              <w:rPr>
                <w:rFonts w:ascii="Times New Roman" w:hAnsi="Times New Roman" w:cs="Times New Roman"/>
                <w:sz w:val="24"/>
                <w:szCs w:val="24"/>
              </w:rPr>
            </w:pPr>
          </w:p>
          <w:p w14:paraId="00154BAF" w14:textId="77777777" w:rsidR="008002E7" w:rsidRPr="00525053" w:rsidRDefault="008002E7" w:rsidP="004B3C4F">
            <w:pPr>
              <w:rPr>
                <w:rFonts w:ascii="Times New Roman" w:hAnsi="Times New Roman" w:cs="Times New Roman"/>
                <w:sz w:val="24"/>
                <w:szCs w:val="24"/>
              </w:rPr>
            </w:pPr>
          </w:p>
        </w:tc>
        <w:tc>
          <w:tcPr>
            <w:tcW w:w="1134" w:type="dxa"/>
            <w:gridSpan w:val="2"/>
          </w:tcPr>
          <w:p w14:paraId="4C05295A"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7D10450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7435E5A7" w14:textId="77777777" w:rsidR="004B3C4F" w:rsidRPr="00003942" w:rsidRDefault="004B3C4F" w:rsidP="004B3C4F">
            <w:pPr>
              <w:tabs>
                <w:tab w:val="left" w:pos="4215"/>
              </w:tabs>
              <w:rPr>
                <w:rFonts w:ascii="Times New Roman" w:hAnsi="Times New Roman" w:cs="Times New Roman"/>
                <w:sz w:val="24"/>
                <w:szCs w:val="24"/>
              </w:rPr>
            </w:pPr>
          </w:p>
        </w:tc>
      </w:tr>
      <w:tr w:rsidR="004B3C4F" w14:paraId="0883A9F9" w14:textId="77777777" w:rsidTr="00B91DA7">
        <w:tc>
          <w:tcPr>
            <w:tcW w:w="846" w:type="dxa"/>
          </w:tcPr>
          <w:p w14:paraId="7CDA5F12" w14:textId="77777777" w:rsidR="004B3C4F" w:rsidRPr="00C236D8" w:rsidRDefault="004B3C4F" w:rsidP="004B3C4F">
            <w:pPr>
              <w:rPr>
                <w:rFonts w:ascii="Times New Roman" w:hAnsi="Times New Roman" w:cs="Times New Roman"/>
                <w:sz w:val="24"/>
                <w:szCs w:val="24"/>
              </w:rPr>
            </w:pPr>
            <w:r w:rsidRPr="00C236D8">
              <w:rPr>
                <w:rFonts w:ascii="Times New Roman" w:hAnsi="Times New Roman" w:cs="Times New Roman"/>
                <w:sz w:val="24"/>
                <w:szCs w:val="24"/>
              </w:rPr>
              <w:t>1.2.17</w:t>
            </w:r>
          </w:p>
        </w:tc>
        <w:tc>
          <w:tcPr>
            <w:tcW w:w="3827" w:type="dxa"/>
          </w:tcPr>
          <w:p w14:paraId="607E2F12" w14:textId="77777777" w:rsidR="004B3C4F" w:rsidRPr="00525053" w:rsidRDefault="004B3C4F" w:rsidP="004B3C4F">
            <w:pPr>
              <w:spacing w:after="120"/>
              <w:ind w:left="57" w:right="74"/>
              <w:rPr>
                <w:rFonts w:ascii="Times New Roman" w:hAnsi="Times New Roman" w:cs="Times New Roman"/>
                <w:sz w:val="24"/>
                <w:szCs w:val="24"/>
              </w:rPr>
            </w:pPr>
            <w:r w:rsidRPr="00525053">
              <w:rPr>
                <w:rFonts w:ascii="Times New Roman" w:hAnsi="Times New Roman" w:cs="Times New Roman"/>
                <w:sz w:val="24"/>
                <w:szCs w:val="24"/>
              </w:rPr>
              <w:t>Is there evidence of other operators in the Data Importer’s sector in the recipient third country receiving requests for access or disclosure from public authorities?</w:t>
            </w:r>
          </w:p>
          <w:p w14:paraId="63E0B75A" w14:textId="77777777" w:rsidR="008002E7" w:rsidRPr="00C236D8" w:rsidRDefault="008002E7" w:rsidP="004B3C4F">
            <w:pPr>
              <w:spacing w:after="120"/>
              <w:ind w:left="57" w:right="74"/>
              <w:rPr>
                <w:rFonts w:ascii="Times New Roman" w:hAnsi="Times New Roman" w:cs="Times New Roman"/>
                <w:sz w:val="24"/>
                <w:szCs w:val="24"/>
              </w:rPr>
            </w:pPr>
          </w:p>
        </w:tc>
        <w:tc>
          <w:tcPr>
            <w:tcW w:w="1134" w:type="dxa"/>
            <w:gridSpan w:val="2"/>
          </w:tcPr>
          <w:p w14:paraId="3EE6F487" w14:textId="77777777" w:rsidR="004B3C4F" w:rsidRPr="00003942" w:rsidRDefault="004B3C4F" w:rsidP="004B3C4F">
            <w:pPr>
              <w:tabs>
                <w:tab w:val="left" w:pos="4215"/>
              </w:tabs>
              <w:rPr>
                <w:rFonts w:ascii="Times New Roman" w:hAnsi="Times New Roman" w:cs="Times New Roman"/>
                <w:sz w:val="24"/>
                <w:szCs w:val="24"/>
              </w:rPr>
            </w:pPr>
          </w:p>
        </w:tc>
        <w:tc>
          <w:tcPr>
            <w:tcW w:w="2268" w:type="dxa"/>
          </w:tcPr>
          <w:p w14:paraId="3D3FAA0C" w14:textId="77777777" w:rsidR="004B3C4F" w:rsidRPr="00003942" w:rsidRDefault="004B3C4F" w:rsidP="004B3C4F">
            <w:pPr>
              <w:tabs>
                <w:tab w:val="left" w:pos="4215"/>
              </w:tabs>
              <w:rPr>
                <w:rFonts w:ascii="Times New Roman" w:hAnsi="Times New Roman" w:cs="Times New Roman"/>
                <w:sz w:val="24"/>
                <w:szCs w:val="24"/>
              </w:rPr>
            </w:pPr>
          </w:p>
        </w:tc>
        <w:tc>
          <w:tcPr>
            <w:tcW w:w="2687" w:type="dxa"/>
          </w:tcPr>
          <w:p w14:paraId="4E6B6161" w14:textId="77777777" w:rsidR="004B3C4F" w:rsidRPr="00003942" w:rsidRDefault="004B3C4F" w:rsidP="004B3C4F">
            <w:pPr>
              <w:tabs>
                <w:tab w:val="left" w:pos="4215"/>
              </w:tabs>
              <w:rPr>
                <w:rFonts w:ascii="Times New Roman" w:hAnsi="Times New Roman" w:cs="Times New Roman"/>
                <w:sz w:val="24"/>
                <w:szCs w:val="24"/>
              </w:rPr>
            </w:pPr>
          </w:p>
        </w:tc>
      </w:tr>
      <w:tr w:rsidR="004B3C4F" w14:paraId="6C1CE17C" w14:textId="77777777" w:rsidTr="00184D69">
        <w:tc>
          <w:tcPr>
            <w:tcW w:w="846" w:type="dxa"/>
          </w:tcPr>
          <w:p w14:paraId="3E1C5FDE" w14:textId="77777777" w:rsidR="004B3C4F" w:rsidRPr="00C236D8" w:rsidRDefault="004B3C4F" w:rsidP="004B3C4F">
            <w:pPr>
              <w:rPr>
                <w:rFonts w:ascii="Times New Roman" w:hAnsi="Times New Roman" w:cs="Times New Roman"/>
                <w:sz w:val="24"/>
                <w:szCs w:val="24"/>
              </w:rPr>
            </w:pPr>
            <w:r>
              <w:rPr>
                <w:rFonts w:ascii="Times New Roman" w:hAnsi="Times New Roman" w:cs="Times New Roman"/>
                <w:sz w:val="24"/>
                <w:szCs w:val="24"/>
              </w:rPr>
              <w:t xml:space="preserve">1.2.18 </w:t>
            </w:r>
          </w:p>
        </w:tc>
        <w:tc>
          <w:tcPr>
            <w:tcW w:w="3827" w:type="dxa"/>
          </w:tcPr>
          <w:p w14:paraId="61969A25" w14:textId="77777777" w:rsidR="004B3C4F" w:rsidRPr="0087741D" w:rsidRDefault="004B3C4F" w:rsidP="004B3C4F">
            <w:pPr>
              <w:spacing w:after="120"/>
              <w:rPr>
                <w:rFonts w:ascii="Times New Roman" w:hAnsi="Times New Roman" w:cs="Times New Roman"/>
                <w:sz w:val="24"/>
                <w:szCs w:val="24"/>
              </w:rPr>
            </w:pPr>
            <w:r w:rsidRPr="003A2B9D">
              <w:rPr>
                <w:rFonts w:ascii="Times New Roman" w:hAnsi="Times New Roman" w:cs="Times New Roman"/>
                <w:sz w:val="24"/>
                <w:szCs w:val="24"/>
              </w:rPr>
              <w:t xml:space="preserve">In relation to surveillance measures allowing access to personal data by public authorities (e.g. national security agencies or law enforcement authorities), are </w:t>
            </w:r>
            <w:r w:rsidRPr="003A2B9D">
              <w:rPr>
                <w:rFonts w:ascii="Times New Roman" w:hAnsi="Times New Roman" w:cs="Times New Roman"/>
                <w:b/>
                <w:sz w:val="24"/>
                <w:szCs w:val="24"/>
                <w:u w:val="single"/>
              </w:rPr>
              <w:t>all four</w:t>
            </w:r>
            <w:r w:rsidRPr="003A2B9D">
              <w:rPr>
                <w:rFonts w:ascii="Times New Roman" w:hAnsi="Times New Roman" w:cs="Times New Roman"/>
                <w:sz w:val="24"/>
                <w:szCs w:val="24"/>
              </w:rPr>
              <w:t xml:space="preserve"> European Essential Guarantees (</w:t>
            </w:r>
            <w:hyperlink r:id="rId12" w:history="1">
              <w:r w:rsidRPr="003A2B9D">
                <w:rPr>
                  <w:rStyle w:val="Hyperlink"/>
                  <w:rFonts w:ascii="Times New Roman" w:hAnsi="Times New Roman" w:cs="Times New Roman"/>
                  <w:sz w:val="24"/>
                  <w:szCs w:val="24"/>
                </w:rPr>
                <w:t>Click for European Data Protection Board Guidance</w:t>
              </w:r>
            </w:hyperlink>
            <w:r w:rsidRPr="003A2B9D">
              <w:rPr>
                <w:rFonts w:ascii="Times New Roman" w:hAnsi="Times New Roman" w:cs="Times New Roman"/>
                <w:sz w:val="24"/>
                <w:szCs w:val="24"/>
              </w:rPr>
              <w:t>)</w:t>
            </w:r>
            <w:r w:rsidRPr="003A2B9D">
              <w:rPr>
                <w:rStyle w:val="Hyperlink"/>
                <w:rFonts w:ascii="Times New Roman" w:hAnsi="Times New Roman" w:cs="Times New Roman"/>
                <w:sz w:val="24"/>
                <w:szCs w:val="24"/>
              </w:rPr>
              <w:t xml:space="preserve"> </w:t>
            </w:r>
            <w:r w:rsidRPr="003A2B9D">
              <w:rPr>
                <w:rFonts w:ascii="Times New Roman" w:hAnsi="Times New Roman" w:cs="Times New Roman"/>
                <w:sz w:val="24"/>
                <w:szCs w:val="24"/>
              </w:rPr>
              <w:t>present in the recipient country by reference to the responses ente</w:t>
            </w:r>
            <w:r w:rsidR="00525053">
              <w:rPr>
                <w:rFonts w:ascii="Times New Roman" w:hAnsi="Times New Roman" w:cs="Times New Roman"/>
                <w:sz w:val="24"/>
                <w:szCs w:val="24"/>
              </w:rPr>
              <w:t>red above?</w:t>
            </w:r>
          </w:p>
        </w:tc>
        <w:tc>
          <w:tcPr>
            <w:tcW w:w="6089" w:type="dxa"/>
            <w:gridSpan w:val="4"/>
          </w:tcPr>
          <w:p w14:paraId="69A456C1"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Tick each European Essential Guarantee identified:</w:t>
            </w:r>
          </w:p>
          <w:p w14:paraId="60A117BB" w14:textId="77777777" w:rsidR="004B3C4F" w:rsidRPr="0057094A" w:rsidRDefault="004B3C4F" w:rsidP="004B3C4F">
            <w:pPr>
              <w:rPr>
                <w:rFonts w:ascii="Times New Roman" w:hAnsi="Times New Roman" w:cs="Times New Roman"/>
                <w:sz w:val="24"/>
                <w:szCs w:val="24"/>
              </w:rPr>
            </w:pPr>
          </w:p>
          <w:p w14:paraId="1F18572C"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1. Processing is based on clear, precise and accessible</w:t>
            </w:r>
          </w:p>
          <w:p w14:paraId="03D4FE97"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 xml:space="preserve">        rules</w:t>
            </w:r>
          </w:p>
          <w:p w14:paraId="1D37A4E6" w14:textId="77777777" w:rsidR="004B3C4F" w:rsidRPr="0057094A" w:rsidRDefault="004B3C4F" w:rsidP="004B3C4F">
            <w:pPr>
              <w:rPr>
                <w:rFonts w:ascii="Times New Roman" w:hAnsi="Times New Roman" w:cs="Times New Roman"/>
                <w:sz w:val="24"/>
                <w:szCs w:val="24"/>
              </w:rPr>
            </w:pPr>
          </w:p>
          <w:p w14:paraId="7ABDCE50"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2. Necessity and proportionality regarding the legitimate </w:t>
            </w:r>
          </w:p>
          <w:p w14:paraId="5EA0CD32" w14:textId="77777777" w:rsidR="004B3C4F" w:rsidRPr="0057094A" w:rsidRDefault="004B3C4F" w:rsidP="004B3C4F">
            <w:pPr>
              <w:rPr>
                <w:rFonts w:ascii="Times New Roman" w:hAnsi="Times New Roman" w:cs="Times New Roman"/>
                <w:sz w:val="24"/>
                <w:szCs w:val="24"/>
              </w:rPr>
            </w:pPr>
            <w:r w:rsidRPr="0057094A">
              <w:rPr>
                <w:rFonts w:ascii="Times New Roman" w:hAnsi="Times New Roman" w:cs="Times New Roman"/>
                <w:sz w:val="24"/>
                <w:szCs w:val="24"/>
              </w:rPr>
              <w:t xml:space="preserve">         objectives pursued is demonstrated</w:t>
            </w:r>
          </w:p>
          <w:p w14:paraId="59ECD400" w14:textId="77777777" w:rsidR="004B3C4F" w:rsidRPr="0057094A" w:rsidRDefault="004B3C4F" w:rsidP="004B3C4F">
            <w:pPr>
              <w:rPr>
                <w:rFonts w:ascii="Times New Roman" w:hAnsi="Times New Roman" w:cs="Times New Roman"/>
                <w:sz w:val="24"/>
                <w:szCs w:val="24"/>
              </w:rPr>
            </w:pPr>
          </w:p>
          <w:p w14:paraId="6D8DDFDC" w14:textId="77777777" w:rsidR="004B3C4F" w:rsidRPr="0057094A" w:rsidRDefault="004B3C4F" w:rsidP="004B3C4F">
            <w:pPr>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3. An independent oversight mechanism exists</w:t>
            </w:r>
          </w:p>
          <w:p w14:paraId="76D1EF48" w14:textId="77777777" w:rsidR="004B3C4F" w:rsidRPr="0057094A" w:rsidRDefault="004B3C4F" w:rsidP="004B3C4F">
            <w:pPr>
              <w:tabs>
                <w:tab w:val="left" w:pos="4215"/>
              </w:tabs>
              <w:rPr>
                <w:rFonts w:ascii="Times New Roman" w:hAnsi="Times New Roman" w:cs="Times New Roman"/>
                <w:sz w:val="24"/>
                <w:szCs w:val="24"/>
              </w:rPr>
            </w:pPr>
          </w:p>
          <w:p w14:paraId="6ED5A0CD" w14:textId="77777777" w:rsidR="004B3C4F" w:rsidRPr="0057094A" w:rsidRDefault="004B3C4F" w:rsidP="004B3C4F">
            <w:pPr>
              <w:tabs>
                <w:tab w:val="left" w:pos="4215"/>
              </w:tabs>
              <w:rPr>
                <w:rFonts w:ascii="Times New Roman" w:hAnsi="Times New Roman" w:cs="Times New Roman"/>
                <w:sz w:val="24"/>
                <w:szCs w:val="24"/>
              </w:rPr>
            </w:pPr>
            <w:r w:rsidRPr="0057094A">
              <w:rPr>
                <w:rFonts w:ascii="Segoe UI Symbol" w:hAnsi="Segoe UI Symbol" w:cs="Segoe UI Symbol"/>
                <w:sz w:val="24"/>
                <w:szCs w:val="24"/>
              </w:rPr>
              <w:t>☐</w:t>
            </w:r>
            <w:r w:rsidRPr="0057094A">
              <w:rPr>
                <w:rFonts w:ascii="Times New Roman" w:hAnsi="Times New Roman" w:cs="Times New Roman"/>
                <w:sz w:val="24"/>
                <w:szCs w:val="24"/>
              </w:rPr>
              <w:t xml:space="preserve"> 4. Effective remedies are available for data subjects</w:t>
            </w:r>
          </w:p>
          <w:p w14:paraId="1486DE39" w14:textId="77777777" w:rsidR="004B3C4F" w:rsidRDefault="004B3C4F" w:rsidP="004B3C4F">
            <w:pPr>
              <w:tabs>
                <w:tab w:val="left" w:pos="4215"/>
              </w:tabs>
              <w:rPr>
                <w:rFonts w:ascii="Times New Roman" w:hAnsi="Times New Roman" w:cs="Times New Roman"/>
                <w:sz w:val="12"/>
                <w:szCs w:val="12"/>
              </w:rPr>
            </w:pPr>
          </w:p>
          <w:p w14:paraId="1507ED07" w14:textId="77777777" w:rsidR="004B3C4F" w:rsidRPr="0057094A" w:rsidRDefault="004B3C4F" w:rsidP="004B3C4F">
            <w:pPr>
              <w:tabs>
                <w:tab w:val="left" w:pos="4215"/>
              </w:tabs>
              <w:rPr>
                <w:rFonts w:ascii="Times New Roman" w:hAnsi="Times New Roman" w:cs="Times New Roman"/>
                <w:sz w:val="12"/>
                <w:szCs w:val="12"/>
              </w:rPr>
            </w:pPr>
          </w:p>
        </w:tc>
      </w:tr>
      <w:tr w:rsidR="0087741D" w14:paraId="7597F95D" w14:textId="77777777" w:rsidTr="0087741D">
        <w:tc>
          <w:tcPr>
            <w:tcW w:w="10762" w:type="dxa"/>
            <w:gridSpan w:val="6"/>
            <w:shd w:val="clear" w:color="auto" w:fill="E2EFD9" w:themeFill="accent6" w:themeFillTint="33"/>
          </w:tcPr>
          <w:p w14:paraId="2B0337E0" w14:textId="77777777" w:rsidR="0087741D" w:rsidRPr="0087741D" w:rsidRDefault="0087741D" w:rsidP="003C7917">
            <w:pPr>
              <w:tabs>
                <w:tab w:val="left" w:pos="4215"/>
              </w:tabs>
              <w:rPr>
                <w:rFonts w:ascii="Times New Roman" w:hAnsi="Times New Roman" w:cs="Times New Roman"/>
                <w:b/>
                <w:sz w:val="12"/>
                <w:szCs w:val="12"/>
              </w:rPr>
            </w:pPr>
          </w:p>
          <w:p w14:paraId="35836085" w14:textId="77777777" w:rsidR="0087741D" w:rsidRDefault="0087741D" w:rsidP="003C7917">
            <w:pPr>
              <w:tabs>
                <w:tab w:val="left" w:pos="4215"/>
              </w:tabs>
              <w:rPr>
                <w:rFonts w:ascii="Times New Roman" w:hAnsi="Times New Roman" w:cs="Times New Roman"/>
                <w:b/>
                <w:sz w:val="24"/>
                <w:szCs w:val="24"/>
              </w:rPr>
            </w:pPr>
            <w:r w:rsidRPr="0087741D">
              <w:rPr>
                <w:rFonts w:ascii="Times New Roman" w:hAnsi="Times New Roman" w:cs="Times New Roman"/>
                <w:b/>
                <w:sz w:val="24"/>
                <w:szCs w:val="24"/>
              </w:rPr>
              <w:t>Assessment of level of protection provided in third country</w:t>
            </w:r>
          </w:p>
          <w:p w14:paraId="0C1AA77C" w14:textId="77777777" w:rsidR="0087741D" w:rsidRPr="0087741D" w:rsidRDefault="0087741D" w:rsidP="003C7917">
            <w:pPr>
              <w:tabs>
                <w:tab w:val="left" w:pos="4215"/>
              </w:tabs>
              <w:rPr>
                <w:rFonts w:ascii="Times New Roman" w:hAnsi="Times New Roman" w:cs="Times New Roman"/>
                <w:b/>
                <w:sz w:val="12"/>
                <w:szCs w:val="12"/>
              </w:rPr>
            </w:pPr>
          </w:p>
        </w:tc>
      </w:tr>
      <w:tr w:rsidR="0057094A" w14:paraId="7B543179" w14:textId="77777777" w:rsidTr="0057094A">
        <w:tc>
          <w:tcPr>
            <w:tcW w:w="5098" w:type="dxa"/>
            <w:gridSpan w:val="3"/>
          </w:tcPr>
          <w:p w14:paraId="62466343" w14:textId="77777777" w:rsidR="0057094A" w:rsidRDefault="0057094A" w:rsidP="0057094A">
            <w:pPr>
              <w:spacing w:after="120"/>
              <w:rPr>
                <w:rFonts w:ascii="Times New Roman" w:hAnsi="Times New Roman" w:cs="Times New Roman"/>
                <w:b/>
                <w:sz w:val="24"/>
                <w:szCs w:val="24"/>
                <w:lang w:eastAsia="en-IE"/>
              </w:rPr>
            </w:pPr>
            <w:r w:rsidRPr="0057094A">
              <w:rPr>
                <w:rFonts w:ascii="Times New Roman" w:hAnsi="Times New Roman" w:cs="Times New Roman"/>
                <w:b/>
                <w:sz w:val="24"/>
                <w:szCs w:val="24"/>
                <w:lang w:eastAsia="en-IE"/>
              </w:rPr>
              <w:t xml:space="preserve">Taking account of the circumstances of the transfer detailed in section A and the responses at section B(1) above, is the HSE satisfied that the law or practice of the recipient third country will </w:t>
            </w:r>
            <w:r w:rsidRPr="0057094A">
              <w:rPr>
                <w:rFonts w:ascii="Times New Roman" w:hAnsi="Times New Roman" w:cs="Times New Roman"/>
                <w:b/>
                <w:bCs/>
                <w:sz w:val="24"/>
                <w:szCs w:val="24"/>
                <w:lang w:eastAsia="en-IE"/>
              </w:rPr>
              <w:t>not</w:t>
            </w:r>
            <w:r w:rsidRPr="0057094A">
              <w:rPr>
                <w:rFonts w:ascii="Times New Roman" w:hAnsi="Times New Roman" w:cs="Times New Roman"/>
                <w:b/>
                <w:sz w:val="24"/>
                <w:szCs w:val="24"/>
                <w:lang w:eastAsia="en-IE"/>
              </w:rPr>
              <w:t xml:space="preserve"> impinge on the effectiveness of the safeguards provided by the SCCs, i.e. that the level of protection in the recipient third country is essentially equivalent to that guaranteed in the EU (by the GDPR read in light of the Charter of Fundamental Rights)?</w:t>
            </w:r>
          </w:p>
          <w:p w14:paraId="415AF28F" w14:textId="77777777" w:rsidR="00AE39A3" w:rsidRPr="0057094A" w:rsidRDefault="00AE39A3" w:rsidP="0057094A">
            <w:pPr>
              <w:spacing w:after="120"/>
              <w:rPr>
                <w:rFonts w:ascii="Times New Roman" w:hAnsi="Times New Roman" w:cs="Times New Roman"/>
                <w:b/>
                <w:sz w:val="24"/>
                <w:szCs w:val="24"/>
              </w:rPr>
            </w:pPr>
          </w:p>
        </w:tc>
        <w:tc>
          <w:tcPr>
            <w:tcW w:w="5664" w:type="dxa"/>
            <w:gridSpan w:val="3"/>
          </w:tcPr>
          <w:p w14:paraId="59181D08"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t>☐</w:t>
            </w:r>
            <w:r w:rsidRPr="0057094A">
              <w:rPr>
                <w:rFonts w:ascii="Times New Roman" w:hAnsi="Times New Roman" w:cs="Times New Roman"/>
                <w:sz w:val="24"/>
                <w:szCs w:val="24"/>
                <w:lang w:eastAsia="en-IE"/>
              </w:rPr>
              <w:t> Yes</w:t>
            </w:r>
            <w:r w:rsidRPr="0057094A">
              <w:rPr>
                <w:rFonts w:ascii="Times New Roman" w:hAnsi="Times New Roman" w:cs="Times New Roman"/>
                <w:sz w:val="24"/>
                <w:szCs w:val="24"/>
                <w:lang w:eastAsia="en-IE"/>
              </w:rPr>
              <w:tab/>
              <w:t>[</w:t>
            </w:r>
            <w:r w:rsidRPr="0057094A">
              <w:rPr>
                <w:rFonts w:ascii="Times New Roman" w:hAnsi="Times New Roman" w:cs="Times New Roman"/>
                <w:i/>
                <w:iCs/>
                <w:sz w:val="24"/>
                <w:szCs w:val="24"/>
                <w:lang w:eastAsia="en-IE"/>
              </w:rPr>
              <w:t>summarise reasons and proceed to section C]</w:t>
            </w:r>
          </w:p>
          <w:p w14:paraId="0D1EA7E2"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t>☐</w:t>
            </w:r>
            <w:r w:rsidRPr="0057094A">
              <w:rPr>
                <w:rFonts w:ascii="Times New Roman" w:hAnsi="Times New Roman" w:cs="Times New Roman"/>
                <w:sz w:val="24"/>
                <w:szCs w:val="24"/>
                <w:lang w:eastAsia="en-IE"/>
              </w:rPr>
              <w:t> No</w:t>
            </w:r>
            <w:r w:rsidRPr="0057094A">
              <w:rPr>
                <w:rFonts w:ascii="Times New Roman" w:hAnsi="Times New Roman" w:cs="Times New Roman"/>
                <w:sz w:val="24"/>
                <w:szCs w:val="24"/>
                <w:lang w:eastAsia="en-IE"/>
              </w:rPr>
              <w:tab/>
            </w:r>
            <w:r w:rsidRPr="0057094A">
              <w:rPr>
                <w:rFonts w:ascii="Times New Roman" w:hAnsi="Times New Roman" w:cs="Times New Roman"/>
                <w:i/>
                <w:sz w:val="24"/>
                <w:szCs w:val="24"/>
                <w:lang w:eastAsia="en-IE"/>
              </w:rPr>
              <w:t>Continue to section B(2)</w:t>
            </w:r>
          </w:p>
          <w:p w14:paraId="6C1B32C2" w14:textId="77777777" w:rsidR="0057094A" w:rsidRPr="0057094A" w:rsidRDefault="0057094A" w:rsidP="0057094A">
            <w:pPr>
              <w:ind w:left="739" w:hanging="709"/>
              <w:rPr>
                <w:rFonts w:ascii="Times New Roman" w:hAnsi="Times New Roman" w:cs="Times New Roman"/>
                <w:sz w:val="24"/>
                <w:szCs w:val="24"/>
                <w:lang w:eastAsia="en-IE"/>
              </w:rPr>
            </w:pPr>
            <w:r w:rsidRPr="0057094A">
              <w:rPr>
                <w:rFonts w:ascii="Segoe UI Symbol" w:hAnsi="Segoe UI Symbol" w:cs="Segoe UI Symbol"/>
                <w:sz w:val="24"/>
                <w:szCs w:val="24"/>
                <w:lang w:eastAsia="en-IE"/>
              </w:rPr>
              <w:t>☐</w:t>
            </w:r>
            <w:r w:rsidRPr="0057094A">
              <w:rPr>
                <w:rFonts w:ascii="Times New Roman" w:hAnsi="Times New Roman" w:cs="Times New Roman"/>
                <w:sz w:val="24"/>
                <w:szCs w:val="24"/>
                <w:lang w:eastAsia="en-IE"/>
              </w:rPr>
              <w:t xml:space="preserve"> Not satisfied or unsure </w:t>
            </w:r>
            <w:r w:rsidRPr="0057094A">
              <w:rPr>
                <w:rFonts w:ascii="Times New Roman" w:hAnsi="Times New Roman" w:cs="Times New Roman"/>
                <w:i/>
                <w:sz w:val="24"/>
                <w:szCs w:val="24"/>
                <w:lang w:eastAsia="en-IE"/>
              </w:rPr>
              <w:t>continue to section B(2)</w:t>
            </w:r>
            <w:r w:rsidRPr="0057094A">
              <w:rPr>
                <w:rFonts w:ascii="Times New Roman" w:hAnsi="Times New Roman" w:cs="Times New Roman"/>
                <w:sz w:val="24"/>
                <w:szCs w:val="24"/>
                <w:lang w:eastAsia="en-IE"/>
              </w:rPr>
              <w:t xml:space="preserve">  </w:t>
            </w:r>
          </w:p>
          <w:p w14:paraId="6A773C60" w14:textId="77777777" w:rsidR="0057094A" w:rsidRPr="0057094A" w:rsidRDefault="0057094A" w:rsidP="0057094A">
            <w:pPr>
              <w:rPr>
                <w:rFonts w:ascii="Times New Roman" w:hAnsi="Times New Roman" w:cs="Times New Roman"/>
                <w:i/>
                <w:sz w:val="24"/>
                <w:szCs w:val="24"/>
              </w:rPr>
            </w:pPr>
          </w:p>
        </w:tc>
      </w:tr>
      <w:tr w:rsidR="0057094A" w14:paraId="2AA58D39" w14:textId="77777777" w:rsidTr="00B91DA7">
        <w:tc>
          <w:tcPr>
            <w:tcW w:w="846" w:type="dxa"/>
            <w:shd w:val="clear" w:color="auto" w:fill="E2EFD9" w:themeFill="accent6" w:themeFillTint="33"/>
          </w:tcPr>
          <w:p w14:paraId="67FADFCC" w14:textId="77777777" w:rsidR="0057094A" w:rsidRPr="0057094A" w:rsidRDefault="0057094A" w:rsidP="0057094A">
            <w:pPr>
              <w:pStyle w:val="Level1"/>
              <w:numPr>
                <w:ilvl w:val="0"/>
                <w:numId w:val="0"/>
              </w:numPr>
              <w:spacing w:before="120" w:after="120"/>
              <w:ind w:left="57" w:right="74"/>
              <w:jc w:val="left"/>
              <w:rPr>
                <w:rFonts w:ascii="Times New Roman" w:hAnsi="Times New Roman" w:cs="Times New Roman"/>
                <w:b/>
                <w:color w:val="000000" w:themeColor="text1"/>
                <w:sz w:val="24"/>
                <w:szCs w:val="24"/>
              </w:rPr>
            </w:pPr>
            <w:r w:rsidRPr="0057094A">
              <w:rPr>
                <w:rFonts w:ascii="Times New Roman" w:hAnsi="Times New Roman" w:cs="Times New Roman"/>
                <w:b/>
                <w:color w:val="000000" w:themeColor="text1"/>
                <w:sz w:val="24"/>
                <w:szCs w:val="24"/>
              </w:rPr>
              <w:t>2.</w:t>
            </w:r>
          </w:p>
        </w:tc>
        <w:tc>
          <w:tcPr>
            <w:tcW w:w="9916" w:type="dxa"/>
            <w:gridSpan w:val="5"/>
            <w:shd w:val="clear" w:color="auto" w:fill="E2EFD9" w:themeFill="accent6" w:themeFillTint="33"/>
          </w:tcPr>
          <w:p w14:paraId="1E68843B" w14:textId="77777777" w:rsidR="0087288D" w:rsidRPr="0057094A" w:rsidRDefault="0057094A" w:rsidP="0057094A">
            <w:pPr>
              <w:pStyle w:val="Level1"/>
              <w:numPr>
                <w:ilvl w:val="0"/>
                <w:numId w:val="0"/>
              </w:numPr>
              <w:spacing w:before="120" w:after="120"/>
              <w:ind w:right="74"/>
              <w:jc w:val="left"/>
              <w:rPr>
                <w:rFonts w:ascii="Times New Roman" w:hAnsi="Times New Roman" w:cs="Times New Roman"/>
                <w:b/>
                <w:color w:val="000000" w:themeColor="text1"/>
                <w:sz w:val="24"/>
                <w:szCs w:val="24"/>
              </w:rPr>
            </w:pPr>
            <w:r w:rsidRPr="0057094A">
              <w:rPr>
                <w:rFonts w:ascii="Times New Roman" w:hAnsi="Times New Roman" w:cs="Times New Roman"/>
                <w:b/>
                <w:color w:val="000000" w:themeColor="text1"/>
                <w:sz w:val="24"/>
                <w:szCs w:val="24"/>
              </w:rPr>
              <w:t>Supplementary measures to appropriate safeguards</w:t>
            </w:r>
            <w:r w:rsidR="0087288D">
              <w:rPr>
                <w:rFonts w:ascii="Times New Roman" w:hAnsi="Times New Roman" w:cs="Times New Roman"/>
                <w:b/>
                <w:color w:val="000000" w:themeColor="text1"/>
                <w:sz w:val="24"/>
                <w:szCs w:val="24"/>
              </w:rPr>
              <w:t>.</w:t>
            </w:r>
          </w:p>
        </w:tc>
      </w:tr>
      <w:tr w:rsidR="00141D64" w14:paraId="516F79FE" w14:textId="77777777" w:rsidTr="00FE7F08">
        <w:tc>
          <w:tcPr>
            <w:tcW w:w="846" w:type="dxa"/>
            <w:shd w:val="clear" w:color="auto" w:fill="FFF2CC" w:themeFill="accent4" w:themeFillTint="33"/>
          </w:tcPr>
          <w:p w14:paraId="2C27899E" w14:textId="77777777" w:rsidR="00141D64" w:rsidRPr="00141D64" w:rsidRDefault="00141D64" w:rsidP="00141D64">
            <w:pPr>
              <w:tabs>
                <w:tab w:val="left" w:pos="4215"/>
              </w:tabs>
              <w:rPr>
                <w:sz w:val="24"/>
                <w:szCs w:val="24"/>
              </w:rPr>
            </w:pPr>
            <w:r w:rsidRPr="00141D64">
              <w:rPr>
                <w:sz w:val="24"/>
                <w:szCs w:val="24"/>
              </w:rPr>
              <w:t>2.1</w:t>
            </w:r>
          </w:p>
        </w:tc>
        <w:tc>
          <w:tcPr>
            <w:tcW w:w="4252" w:type="dxa"/>
            <w:gridSpan w:val="2"/>
            <w:shd w:val="clear" w:color="auto" w:fill="FFF2CC" w:themeFill="accent4" w:themeFillTint="33"/>
          </w:tcPr>
          <w:p w14:paraId="03D737F0" w14:textId="77777777" w:rsidR="00141D64" w:rsidRPr="00141D64" w:rsidRDefault="00141D64" w:rsidP="00141D64">
            <w:pPr>
              <w:pStyle w:val="Level2"/>
              <w:numPr>
                <w:ilvl w:val="0"/>
                <w:numId w:val="0"/>
              </w:numPr>
              <w:ind w:left="850" w:hanging="850"/>
              <w:jc w:val="left"/>
              <w:rPr>
                <w:rFonts w:ascii="Times New Roman" w:hAnsi="Times New Roman" w:cs="Times New Roman"/>
                <w:b/>
                <w:sz w:val="24"/>
                <w:szCs w:val="24"/>
              </w:rPr>
            </w:pPr>
            <w:r w:rsidRPr="00141D64">
              <w:rPr>
                <w:rFonts w:ascii="Times New Roman" w:hAnsi="Times New Roman" w:cs="Times New Roman"/>
                <w:b/>
                <w:sz w:val="24"/>
                <w:szCs w:val="24"/>
              </w:rPr>
              <w:t>Potential supplementary measure</w:t>
            </w:r>
          </w:p>
          <w:p w14:paraId="728994E0" w14:textId="77777777" w:rsidR="00141D64" w:rsidRPr="00141D64" w:rsidRDefault="00141D64" w:rsidP="00141D64">
            <w:pPr>
              <w:pStyle w:val="Level2"/>
              <w:numPr>
                <w:ilvl w:val="0"/>
                <w:numId w:val="0"/>
              </w:numPr>
              <w:ind w:left="850" w:hanging="850"/>
              <w:jc w:val="left"/>
              <w:rPr>
                <w:rFonts w:ascii="Times New Roman" w:hAnsi="Times New Roman" w:cs="Times New Roman"/>
                <w:b/>
                <w:sz w:val="24"/>
                <w:szCs w:val="24"/>
              </w:rPr>
            </w:pPr>
            <w:r w:rsidRPr="00141D64">
              <w:rPr>
                <w:rFonts w:ascii="Times New Roman" w:hAnsi="Times New Roman" w:cs="Times New Roman"/>
                <w:b/>
                <w:sz w:val="24"/>
                <w:szCs w:val="24"/>
              </w:rPr>
              <w:t>(</w:t>
            </w:r>
            <w:hyperlink r:id="rId13" w:history="1">
              <w:r w:rsidRPr="00141D64">
                <w:rPr>
                  <w:rStyle w:val="Hyperlink"/>
                  <w:rFonts w:ascii="Times New Roman" w:hAnsi="Times New Roman" w:cs="Times New Roman"/>
                  <w:b/>
                  <w:color w:val="0070C0"/>
                  <w:sz w:val="24"/>
                  <w:szCs w:val="24"/>
                </w:rPr>
                <w:t>Click for European Data Protection Board Recommendations</w:t>
              </w:r>
            </w:hyperlink>
            <w:r w:rsidRPr="00141D64">
              <w:rPr>
                <w:rFonts w:ascii="Times New Roman" w:hAnsi="Times New Roman" w:cs="Times New Roman"/>
                <w:b/>
                <w:sz w:val="24"/>
                <w:szCs w:val="24"/>
              </w:rPr>
              <w:t>)</w:t>
            </w:r>
          </w:p>
        </w:tc>
        <w:tc>
          <w:tcPr>
            <w:tcW w:w="5664" w:type="dxa"/>
            <w:gridSpan w:val="3"/>
            <w:shd w:val="clear" w:color="auto" w:fill="FFF2CC" w:themeFill="accent4" w:themeFillTint="33"/>
          </w:tcPr>
          <w:p w14:paraId="23215967" w14:textId="77777777" w:rsidR="00141D64" w:rsidRPr="00141D64" w:rsidRDefault="00141D64" w:rsidP="00141D64">
            <w:pPr>
              <w:pStyle w:val="Level1"/>
              <w:numPr>
                <w:ilvl w:val="0"/>
                <w:numId w:val="0"/>
              </w:numPr>
              <w:spacing w:before="120" w:after="120"/>
              <w:ind w:right="74"/>
              <w:jc w:val="left"/>
              <w:rPr>
                <w:rFonts w:ascii="Times New Roman" w:hAnsi="Times New Roman" w:cs="Times New Roman"/>
                <w:b/>
                <w:sz w:val="24"/>
                <w:szCs w:val="24"/>
              </w:rPr>
            </w:pPr>
            <w:r w:rsidRPr="00141D64">
              <w:rPr>
                <w:rFonts w:ascii="Times New Roman" w:hAnsi="Times New Roman" w:cs="Times New Roman"/>
                <w:b/>
                <w:sz w:val="24"/>
                <w:szCs w:val="24"/>
              </w:rPr>
              <w:t xml:space="preserve">Supplementary measure deployed </w:t>
            </w:r>
            <w:r w:rsidRPr="00141D64">
              <w:rPr>
                <w:rFonts w:ascii="Times New Roman" w:hAnsi="Times New Roman" w:cs="Times New Roman"/>
                <w:b/>
                <w:sz w:val="24"/>
                <w:szCs w:val="24"/>
              </w:rPr>
              <w:br/>
              <w:t>(Describe measures that apply during transmission and/or to the processing in the recipient country)</w:t>
            </w:r>
          </w:p>
        </w:tc>
      </w:tr>
      <w:tr w:rsidR="00141D64" w14:paraId="2300EC0C" w14:textId="77777777" w:rsidTr="00B91DA7">
        <w:tc>
          <w:tcPr>
            <w:tcW w:w="846" w:type="dxa"/>
          </w:tcPr>
          <w:p w14:paraId="3CA7DA3E"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2.1.1</w:t>
            </w:r>
          </w:p>
        </w:tc>
        <w:tc>
          <w:tcPr>
            <w:tcW w:w="4252" w:type="dxa"/>
            <w:gridSpan w:val="2"/>
          </w:tcPr>
          <w:p w14:paraId="0E6C559E" w14:textId="77777777" w:rsidR="00141D64" w:rsidRPr="00141D64" w:rsidRDefault="00141D64" w:rsidP="00141D64">
            <w:pPr>
              <w:pStyle w:val="Level3"/>
              <w:numPr>
                <w:ilvl w:val="0"/>
                <w:numId w:val="0"/>
              </w:numPr>
              <w:ind w:left="850" w:hanging="850"/>
              <w:rPr>
                <w:rFonts w:ascii="Times New Roman" w:hAnsi="Times New Roman" w:cs="Times New Roman"/>
                <w:color w:val="000000" w:themeColor="text1"/>
                <w:sz w:val="24"/>
                <w:szCs w:val="24"/>
              </w:rPr>
            </w:pPr>
            <w:r w:rsidRPr="00141D64">
              <w:rPr>
                <w:rFonts w:ascii="Times New Roman" w:hAnsi="Times New Roman" w:cs="Times New Roman"/>
                <w:color w:val="000000" w:themeColor="text1"/>
                <w:sz w:val="24"/>
                <w:szCs w:val="24"/>
              </w:rPr>
              <w:t>Pseudonymisation</w:t>
            </w:r>
          </w:p>
        </w:tc>
        <w:tc>
          <w:tcPr>
            <w:tcW w:w="5664" w:type="dxa"/>
            <w:gridSpan w:val="3"/>
          </w:tcPr>
          <w:p w14:paraId="6D1D40BF" w14:textId="77777777" w:rsidR="00141D64" w:rsidRPr="00D713EA" w:rsidRDefault="00141D64" w:rsidP="00141D64">
            <w:pPr>
              <w:rPr>
                <w:rFonts w:ascii="Times New Roman" w:hAnsi="Times New Roman" w:cs="Times New Roman"/>
                <w:sz w:val="24"/>
                <w:szCs w:val="24"/>
              </w:rPr>
            </w:pPr>
            <w:r w:rsidRPr="00D713EA">
              <w:rPr>
                <w:rFonts w:ascii="Segoe UI Symbol" w:hAnsi="Segoe UI Symbol" w:cs="Segoe UI Symbol"/>
                <w:sz w:val="24"/>
                <w:szCs w:val="24"/>
              </w:rPr>
              <w:t>☐</w:t>
            </w:r>
            <w:r w:rsidRPr="00D713EA">
              <w:rPr>
                <w:rFonts w:ascii="Times New Roman" w:hAnsi="Times New Roman" w:cs="Times New Roman"/>
                <w:sz w:val="24"/>
                <w:szCs w:val="24"/>
              </w:rPr>
              <w:t xml:space="preserve"> Yes</w:t>
            </w:r>
          </w:p>
          <w:p w14:paraId="1649E1FD" w14:textId="77777777" w:rsidR="00141D64" w:rsidRPr="00D713EA" w:rsidRDefault="00141D64" w:rsidP="00141D64">
            <w:pPr>
              <w:rPr>
                <w:rFonts w:ascii="Times New Roman" w:hAnsi="Times New Roman" w:cs="Times New Roman"/>
                <w:sz w:val="24"/>
                <w:szCs w:val="24"/>
              </w:rPr>
            </w:pPr>
            <w:r w:rsidRPr="00D713EA">
              <w:rPr>
                <w:rFonts w:ascii="Segoe UI Symbol" w:hAnsi="Segoe UI Symbol" w:cs="Segoe UI Symbol"/>
                <w:sz w:val="24"/>
                <w:szCs w:val="24"/>
              </w:rPr>
              <w:t>☐</w:t>
            </w:r>
            <w:r w:rsidRPr="00D713EA">
              <w:rPr>
                <w:rFonts w:ascii="Times New Roman" w:hAnsi="Times New Roman" w:cs="Times New Roman"/>
                <w:sz w:val="24"/>
                <w:szCs w:val="24"/>
              </w:rPr>
              <w:t xml:space="preserve"> No</w:t>
            </w:r>
          </w:p>
          <w:p w14:paraId="2B6F7177" w14:textId="77777777" w:rsidR="00141D64" w:rsidRPr="00D713EA" w:rsidRDefault="00141D64" w:rsidP="00141D64">
            <w:pPr>
              <w:rPr>
                <w:rFonts w:ascii="Times New Roman" w:hAnsi="Times New Roman" w:cs="Times New Roman"/>
                <w:sz w:val="24"/>
                <w:szCs w:val="24"/>
              </w:rPr>
            </w:pPr>
          </w:p>
          <w:p w14:paraId="6D60B1CD" w14:textId="77777777" w:rsidR="00141D64" w:rsidRPr="00D713EA" w:rsidRDefault="00141D64" w:rsidP="00141D64">
            <w:pPr>
              <w:rPr>
                <w:rFonts w:ascii="Times New Roman" w:hAnsi="Times New Roman" w:cs="Times New Roman"/>
                <w:sz w:val="24"/>
                <w:szCs w:val="24"/>
              </w:rPr>
            </w:pPr>
            <w:r w:rsidRPr="00D713EA">
              <w:rPr>
                <w:rFonts w:ascii="Times New Roman" w:hAnsi="Times New Roman" w:cs="Times New Roman"/>
                <w:sz w:val="24"/>
                <w:szCs w:val="24"/>
              </w:rPr>
              <w:t>If ‘Yes’ provide details of the pseudonymisation process</w:t>
            </w:r>
          </w:p>
          <w:p w14:paraId="319201EE" w14:textId="77777777" w:rsidR="00141D64" w:rsidRPr="0087288D" w:rsidRDefault="00141D64" w:rsidP="00141D64">
            <w:pPr>
              <w:rPr>
                <w:rFonts w:ascii="Times New Roman" w:hAnsi="Times New Roman" w:cs="Times New Roman"/>
                <w:color w:val="FF0000"/>
                <w:sz w:val="24"/>
                <w:szCs w:val="24"/>
              </w:rPr>
            </w:pPr>
          </w:p>
          <w:p w14:paraId="4960D60F" w14:textId="77777777" w:rsidR="00141D64" w:rsidRPr="0087288D" w:rsidRDefault="00141D64" w:rsidP="00141D64">
            <w:pPr>
              <w:rPr>
                <w:rFonts w:ascii="Times New Roman" w:hAnsi="Times New Roman" w:cs="Times New Roman"/>
                <w:color w:val="FF0000"/>
                <w:sz w:val="24"/>
                <w:szCs w:val="24"/>
              </w:rPr>
            </w:pPr>
          </w:p>
        </w:tc>
      </w:tr>
      <w:tr w:rsidR="00141D64" w14:paraId="474BFFAB" w14:textId="77777777" w:rsidTr="00B91DA7">
        <w:tc>
          <w:tcPr>
            <w:tcW w:w="846" w:type="dxa"/>
          </w:tcPr>
          <w:p w14:paraId="756C3FBA"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2.1.2</w:t>
            </w:r>
          </w:p>
        </w:tc>
        <w:tc>
          <w:tcPr>
            <w:tcW w:w="4252" w:type="dxa"/>
            <w:gridSpan w:val="2"/>
          </w:tcPr>
          <w:p w14:paraId="54D5CBB0" w14:textId="77777777" w:rsidR="00141D64" w:rsidRPr="00141D64" w:rsidRDefault="00141D64" w:rsidP="00141D64">
            <w:pPr>
              <w:pStyle w:val="Level3"/>
              <w:numPr>
                <w:ilvl w:val="0"/>
                <w:numId w:val="0"/>
              </w:numPr>
              <w:ind w:left="850" w:hanging="850"/>
              <w:rPr>
                <w:rFonts w:ascii="Times New Roman" w:hAnsi="Times New Roman" w:cs="Times New Roman"/>
                <w:color w:val="000000" w:themeColor="text1"/>
                <w:sz w:val="24"/>
                <w:szCs w:val="24"/>
              </w:rPr>
            </w:pPr>
            <w:r w:rsidRPr="00141D64">
              <w:rPr>
                <w:rFonts w:ascii="Times New Roman" w:hAnsi="Times New Roman" w:cs="Times New Roman"/>
                <w:color w:val="000000" w:themeColor="text1"/>
                <w:sz w:val="24"/>
                <w:szCs w:val="24"/>
              </w:rPr>
              <w:t>Encryption</w:t>
            </w:r>
          </w:p>
        </w:tc>
        <w:tc>
          <w:tcPr>
            <w:tcW w:w="5664" w:type="dxa"/>
            <w:gridSpan w:val="3"/>
          </w:tcPr>
          <w:p w14:paraId="28F4085D" w14:textId="77777777" w:rsidR="00141D64" w:rsidRPr="00141D64" w:rsidRDefault="00141D64" w:rsidP="00141D64">
            <w:pPr>
              <w:rPr>
                <w:rFonts w:ascii="Times New Roman" w:hAnsi="Times New Roman" w:cs="Times New Roman"/>
                <w:color w:val="000000" w:themeColor="text1"/>
                <w:sz w:val="24"/>
                <w:szCs w:val="24"/>
              </w:rPr>
            </w:pPr>
            <w:r w:rsidRPr="00141D64">
              <w:rPr>
                <w:rFonts w:ascii="Segoe UI Symbol" w:hAnsi="Segoe UI Symbol" w:cs="Segoe UI Symbol"/>
                <w:color w:val="000000" w:themeColor="text1"/>
                <w:sz w:val="24"/>
                <w:szCs w:val="24"/>
              </w:rPr>
              <w:t>☐</w:t>
            </w:r>
            <w:r w:rsidRPr="00141D64">
              <w:rPr>
                <w:rFonts w:ascii="Times New Roman" w:hAnsi="Times New Roman" w:cs="Times New Roman"/>
                <w:color w:val="000000" w:themeColor="text1"/>
                <w:sz w:val="24"/>
                <w:szCs w:val="24"/>
              </w:rPr>
              <w:t xml:space="preserve"> Yes</w:t>
            </w:r>
          </w:p>
          <w:p w14:paraId="34F1A111" w14:textId="77777777" w:rsidR="00141D64" w:rsidRPr="00141D64" w:rsidRDefault="00141D64" w:rsidP="00141D64">
            <w:pPr>
              <w:rPr>
                <w:rFonts w:ascii="Times New Roman" w:hAnsi="Times New Roman" w:cs="Times New Roman"/>
                <w:color w:val="000000" w:themeColor="text1"/>
                <w:sz w:val="24"/>
                <w:szCs w:val="24"/>
              </w:rPr>
            </w:pPr>
            <w:r w:rsidRPr="00141D64">
              <w:rPr>
                <w:rFonts w:ascii="Segoe UI Symbol" w:hAnsi="Segoe UI Symbol" w:cs="Segoe UI Symbol"/>
                <w:color w:val="000000" w:themeColor="text1"/>
                <w:sz w:val="24"/>
                <w:szCs w:val="24"/>
              </w:rPr>
              <w:t>☐</w:t>
            </w:r>
            <w:r w:rsidRPr="00141D64">
              <w:rPr>
                <w:rFonts w:ascii="Times New Roman" w:hAnsi="Times New Roman" w:cs="Times New Roman"/>
                <w:color w:val="000000" w:themeColor="text1"/>
                <w:sz w:val="24"/>
                <w:szCs w:val="24"/>
              </w:rPr>
              <w:t xml:space="preserve"> No</w:t>
            </w:r>
          </w:p>
          <w:p w14:paraId="34BCD561" w14:textId="77777777" w:rsidR="00141D64" w:rsidRPr="00141D64" w:rsidRDefault="00141D64" w:rsidP="00141D64">
            <w:pPr>
              <w:rPr>
                <w:rFonts w:ascii="Times New Roman" w:hAnsi="Times New Roman" w:cs="Times New Roman"/>
                <w:color w:val="000000" w:themeColor="text1"/>
                <w:sz w:val="24"/>
                <w:szCs w:val="24"/>
              </w:rPr>
            </w:pPr>
          </w:p>
          <w:p w14:paraId="4B52B9A9" w14:textId="77777777" w:rsidR="00141D64" w:rsidRPr="00D713EA" w:rsidRDefault="00141D64" w:rsidP="00141D64">
            <w:pPr>
              <w:rPr>
                <w:rFonts w:ascii="Times New Roman" w:hAnsi="Times New Roman" w:cs="Times New Roman"/>
                <w:sz w:val="24"/>
                <w:szCs w:val="24"/>
              </w:rPr>
            </w:pPr>
            <w:r w:rsidRPr="00D713EA">
              <w:rPr>
                <w:rFonts w:ascii="Times New Roman" w:hAnsi="Times New Roman" w:cs="Times New Roman"/>
                <w:sz w:val="24"/>
                <w:szCs w:val="24"/>
              </w:rPr>
              <w:t>If ‘Yes’ provide the following details:</w:t>
            </w:r>
          </w:p>
          <w:p w14:paraId="3FA976EA" w14:textId="77777777" w:rsidR="00141D64" w:rsidRPr="00D713EA" w:rsidRDefault="00141D64" w:rsidP="00141D64">
            <w:pPr>
              <w:rPr>
                <w:rFonts w:ascii="Times New Roman" w:hAnsi="Times New Roman" w:cs="Times New Roman"/>
                <w:sz w:val="24"/>
                <w:szCs w:val="24"/>
              </w:rPr>
            </w:pPr>
          </w:p>
          <w:p w14:paraId="6343C5C6"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 xml:space="preserve">When is the data encrypted – before it is transferred or after it is transferred? </w:t>
            </w:r>
          </w:p>
          <w:p w14:paraId="3A0723CF"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Details of encryption algorithms and protocols used.</w:t>
            </w:r>
          </w:p>
          <w:p w14:paraId="3EF57EBC"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Encryption products used</w:t>
            </w:r>
          </w:p>
          <w:p w14:paraId="6B0BD786"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Is data encrypted at rest (i.e. on disk / storage)?</w:t>
            </w:r>
          </w:p>
          <w:p w14:paraId="405818BB"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Is data encrypted in transit?</w:t>
            </w:r>
          </w:p>
          <w:p w14:paraId="0EB98AE3" w14:textId="77777777" w:rsidR="00141D64" w:rsidRPr="00D713EA" w:rsidRDefault="00141D64" w:rsidP="00141D64">
            <w:pPr>
              <w:pStyle w:val="ListParagraph"/>
              <w:numPr>
                <w:ilvl w:val="0"/>
                <w:numId w:val="17"/>
              </w:numPr>
              <w:spacing w:line="270" w:lineRule="atLeast"/>
              <w:jc w:val="both"/>
              <w:rPr>
                <w:rFonts w:ascii="Times New Roman" w:hAnsi="Times New Roman" w:cs="Times New Roman"/>
                <w:sz w:val="24"/>
                <w:szCs w:val="24"/>
              </w:rPr>
            </w:pPr>
            <w:r w:rsidRPr="00D713EA">
              <w:rPr>
                <w:rFonts w:ascii="Times New Roman" w:hAnsi="Times New Roman" w:cs="Times New Roman"/>
                <w:sz w:val="24"/>
                <w:szCs w:val="24"/>
              </w:rPr>
              <w:t xml:space="preserve">Who </w:t>
            </w:r>
            <w:r w:rsidR="0087288D" w:rsidRPr="00D713EA">
              <w:rPr>
                <w:rFonts w:ascii="Times New Roman" w:hAnsi="Times New Roman" w:cs="Times New Roman"/>
                <w:sz w:val="24"/>
                <w:szCs w:val="24"/>
              </w:rPr>
              <w:t xml:space="preserve">manages the encryption keys </w:t>
            </w:r>
            <w:r w:rsidRPr="00D713EA">
              <w:rPr>
                <w:rFonts w:ascii="Times New Roman" w:hAnsi="Times New Roman" w:cs="Times New Roman"/>
                <w:sz w:val="24"/>
                <w:szCs w:val="24"/>
              </w:rPr>
              <w:t xml:space="preserve">and where are the encryption </w:t>
            </w:r>
            <w:r w:rsidR="0087288D" w:rsidRPr="00D713EA">
              <w:rPr>
                <w:rFonts w:ascii="Times New Roman" w:hAnsi="Times New Roman" w:cs="Times New Roman"/>
                <w:sz w:val="24"/>
                <w:szCs w:val="24"/>
              </w:rPr>
              <w:t xml:space="preserve">keys </w:t>
            </w:r>
            <w:r w:rsidRPr="00D713EA">
              <w:rPr>
                <w:rFonts w:ascii="Times New Roman" w:hAnsi="Times New Roman" w:cs="Times New Roman"/>
                <w:sz w:val="24"/>
                <w:szCs w:val="24"/>
              </w:rPr>
              <w:t>stored</w:t>
            </w:r>
          </w:p>
          <w:p w14:paraId="7F11EED8" w14:textId="77777777" w:rsidR="00141D64" w:rsidRPr="0087288D" w:rsidRDefault="00141D64" w:rsidP="00141D64">
            <w:pPr>
              <w:rPr>
                <w:rFonts w:ascii="Times New Roman" w:hAnsi="Times New Roman" w:cs="Times New Roman"/>
                <w:color w:val="FF0000"/>
                <w:sz w:val="24"/>
                <w:szCs w:val="24"/>
              </w:rPr>
            </w:pPr>
          </w:p>
          <w:p w14:paraId="6E04C023" w14:textId="77777777" w:rsidR="00141D64" w:rsidRPr="00141D64" w:rsidRDefault="00141D64" w:rsidP="00141D64">
            <w:pPr>
              <w:rPr>
                <w:rFonts w:ascii="Times New Roman" w:hAnsi="Times New Roman" w:cs="Times New Roman"/>
                <w:color w:val="000000" w:themeColor="text1"/>
                <w:sz w:val="24"/>
                <w:szCs w:val="24"/>
              </w:rPr>
            </w:pPr>
          </w:p>
        </w:tc>
      </w:tr>
      <w:tr w:rsidR="00141D64" w14:paraId="2BD7133D" w14:textId="77777777" w:rsidTr="00B91DA7">
        <w:tc>
          <w:tcPr>
            <w:tcW w:w="846" w:type="dxa"/>
          </w:tcPr>
          <w:p w14:paraId="499C0DD3"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2.1.3</w:t>
            </w:r>
          </w:p>
        </w:tc>
        <w:tc>
          <w:tcPr>
            <w:tcW w:w="4252" w:type="dxa"/>
            <w:gridSpan w:val="2"/>
          </w:tcPr>
          <w:p w14:paraId="02CB352B" w14:textId="77777777" w:rsid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Protected recipient(s)</w:t>
            </w:r>
            <w:r w:rsidR="00A9646C">
              <w:rPr>
                <w:rFonts w:ascii="Times New Roman" w:hAnsi="Times New Roman" w:cs="Times New Roman"/>
                <w:sz w:val="24"/>
                <w:szCs w:val="24"/>
              </w:rPr>
              <w:t xml:space="preserve"> </w:t>
            </w:r>
          </w:p>
          <w:p w14:paraId="48C35A1C" w14:textId="77777777" w:rsidR="0087288D" w:rsidRDefault="0087288D" w:rsidP="00141D64">
            <w:pPr>
              <w:pStyle w:val="Level3"/>
              <w:numPr>
                <w:ilvl w:val="0"/>
                <w:numId w:val="0"/>
              </w:numPr>
              <w:ind w:left="850" w:hanging="850"/>
              <w:rPr>
                <w:rFonts w:ascii="Times New Roman" w:hAnsi="Times New Roman" w:cs="Times New Roman"/>
                <w:sz w:val="24"/>
                <w:szCs w:val="24"/>
              </w:rPr>
            </w:pPr>
          </w:p>
          <w:p w14:paraId="0964B374" w14:textId="77777777" w:rsidR="0087288D" w:rsidRPr="00141D64" w:rsidRDefault="0087288D" w:rsidP="0087288D">
            <w:pPr>
              <w:pStyle w:val="Level3"/>
              <w:numPr>
                <w:ilvl w:val="0"/>
                <w:numId w:val="0"/>
              </w:numPr>
              <w:ind w:left="850" w:hanging="850"/>
              <w:rPr>
                <w:rFonts w:ascii="Times New Roman" w:hAnsi="Times New Roman" w:cs="Times New Roman"/>
                <w:sz w:val="24"/>
                <w:szCs w:val="24"/>
              </w:rPr>
            </w:pPr>
          </w:p>
        </w:tc>
        <w:tc>
          <w:tcPr>
            <w:tcW w:w="5664" w:type="dxa"/>
            <w:gridSpan w:val="3"/>
          </w:tcPr>
          <w:p w14:paraId="774513FF" w14:textId="77777777" w:rsidR="00141D64" w:rsidRPr="00141D64" w:rsidRDefault="00141D64" w:rsidP="00141D64">
            <w:pPr>
              <w:rPr>
                <w:rFonts w:ascii="Times New Roman" w:hAnsi="Times New Roman" w:cs="Times New Roman"/>
                <w:sz w:val="24"/>
                <w:szCs w:val="24"/>
              </w:rPr>
            </w:pPr>
            <w:r w:rsidRPr="00141D64">
              <w:rPr>
                <w:rFonts w:ascii="Segoe UI Symbol" w:hAnsi="Segoe UI Symbol" w:cs="Segoe UI Symbol"/>
                <w:sz w:val="24"/>
                <w:szCs w:val="24"/>
              </w:rPr>
              <w:t>☐</w:t>
            </w:r>
            <w:r w:rsidRPr="00141D64">
              <w:rPr>
                <w:rFonts w:ascii="Times New Roman" w:hAnsi="Times New Roman" w:cs="Times New Roman"/>
                <w:sz w:val="24"/>
                <w:szCs w:val="24"/>
              </w:rPr>
              <w:t xml:space="preserve"> Yes</w:t>
            </w:r>
          </w:p>
          <w:p w14:paraId="301D19F2" w14:textId="77777777" w:rsidR="00141D64" w:rsidRDefault="00141D64" w:rsidP="00141D64">
            <w:pPr>
              <w:rPr>
                <w:rFonts w:ascii="Times New Roman" w:hAnsi="Times New Roman" w:cs="Times New Roman"/>
                <w:sz w:val="24"/>
                <w:szCs w:val="24"/>
              </w:rPr>
            </w:pPr>
            <w:r w:rsidRPr="00141D64">
              <w:rPr>
                <w:rFonts w:ascii="Segoe UI Symbol" w:hAnsi="Segoe UI Symbol" w:cs="Segoe UI Symbol"/>
                <w:sz w:val="24"/>
                <w:szCs w:val="24"/>
              </w:rPr>
              <w:t>☐</w:t>
            </w:r>
            <w:r w:rsidRPr="00141D64">
              <w:rPr>
                <w:rFonts w:ascii="Times New Roman" w:hAnsi="Times New Roman" w:cs="Times New Roman"/>
                <w:sz w:val="24"/>
                <w:szCs w:val="24"/>
              </w:rPr>
              <w:t xml:space="preserve"> No</w:t>
            </w:r>
          </w:p>
          <w:p w14:paraId="67791993" w14:textId="77777777" w:rsidR="00141D64" w:rsidRPr="00141D64" w:rsidRDefault="00141D64" w:rsidP="00141D64">
            <w:pPr>
              <w:rPr>
                <w:rFonts w:ascii="Times New Roman" w:hAnsi="Times New Roman" w:cs="Times New Roman"/>
                <w:sz w:val="24"/>
                <w:szCs w:val="24"/>
              </w:rPr>
            </w:pPr>
          </w:p>
        </w:tc>
      </w:tr>
      <w:tr w:rsidR="00141D64" w14:paraId="027DAFD2" w14:textId="77777777" w:rsidTr="00B91DA7">
        <w:tc>
          <w:tcPr>
            <w:tcW w:w="846" w:type="dxa"/>
          </w:tcPr>
          <w:p w14:paraId="7509E825"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2.1.4</w:t>
            </w:r>
          </w:p>
        </w:tc>
        <w:tc>
          <w:tcPr>
            <w:tcW w:w="4252" w:type="dxa"/>
            <w:gridSpan w:val="2"/>
          </w:tcPr>
          <w:p w14:paraId="181BBD3E" w14:textId="77777777" w:rsidR="00141D64" w:rsidRP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Other technical measure(s)</w:t>
            </w:r>
          </w:p>
        </w:tc>
        <w:tc>
          <w:tcPr>
            <w:tcW w:w="5664" w:type="dxa"/>
            <w:gridSpan w:val="3"/>
          </w:tcPr>
          <w:p w14:paraId="7B37B947" w14:textId="77777777" w:rsidR="00141D64" w:rsidRDefault="00141D64" w:rsidP="00141D64">
            <w:pPr>
              <w:rPr>
                <w:rFonts w:ascii="Times New Roman" w:hAnsi="Times New Roman" w:cs="Times New Roman"/>
                <w:i/>
                <w:sz w:val="24"/>
                <w:szCs w:val="24"/>
              </w:rPr>
            </w:pPr>
            <w:r w:rsidRPr="00141D64">
              <w:rPr>
                <w:rFonts w:ascii="Times New Roman" w:hAnsi="Times New Roman" w:cs="Times New Roman"/>
                <w:i/>
                <w:sz w:val="24"/>
                <w:szCs w:val="24"/>
              </w:rPr>
              <w:t>[Please provide details]</w:t>
            </w:r>
          </w:p>
          <w:p w14:paraId="23CBDD1E" w14:textId="77777777" w:rsidR="00141D64" w:rsidRDefault="00141D64" w:rsidP="00141D64">
            <w:pPr>
              <w:rPr>
                <w:rFonts w:ascii="Times New Roman" w:hAnsi="Times New Roman" w:cs="Times New Roman"/>
                <w:i/>
                <w:sz w:val="24"/>
                <w:szCs w:val="24"/>
              </w:rPr>
            </w:pPr>
          </w:p>
          <w:p w14:paraId="5EEE9958" w14:textId="77777777" w:rsidR="00141D64" w:rsidRPr="00141D64" w:rsidRDefault="00141D64" w:rsidP="00141D64">
            <w:pPr>
              <w:rPr>
                <w:rFonts w:ascii="Times New Roman" w:hAnsi="Times New Roman" w:cs="Times New Roman"/>
                <w:i/>
                <w:sz w:val="24"/>
                <w:szCs w:val="24"/>
              </w:rPr>
            </w:pPr>
          </w:p>
        </w:tc>
      </w:tr>
      <w:tr w:rsidR="00141D64" w14:paraId="2A243687" w14:textId="77777777" w:rsidTr="00B91DA7">
        <w:tc>
          <w:tcPr>
            <w:tcW w:w="846" w:type="dxa"/>
          </w:tcPr>
          <w:p w14:paraId="2ACEBF84"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2.1.5</w:t>
            </w:r>
          </w:p>
        </w:tc>
        <w:tc>
          <w:tcPr>
            <w:tcW w:w="4252" w:type="dxa"/>
            <w:gridSpan w:val="2"/>
          </w:tcPr>
          <w:p w14:paraId="5895F595" w14:textId="77777777" w:rsidR="00141D64" w:rsidRPr="00141D64" w:rsidRDefault="00141D64" w:rsidP="00141D64">
            <w:pPr>
              <w:pStyle w:val="Level3"/>
              <w:numPr>
                <w:ilvl w:val="0"/>
                <w:numId w:val="0"/>
              </w:numPr>
              <w:spacing w:after="0"/>
              <w:ind w:left="850" w:hanging="850"/>
              <w:rPr>
                <w:rFonts w:ascii="Times New Roman" w:hAnsi="Times New Roman" w:cs="Times New Roman"/>
                <w:sz w:val="24"/>
                <w:szCs w:val="24"/>
              </w:rPr>
            </w:pPr>
            <w:r w:rsidRPr="00141D64">
              <w:rPr>
                <w:rFonts w:ascii="Times New Roman" w:hAnsi="Times New Roman" w:cs="Times New Roman"/>
                <w:sz w:val="24"/>
                <w:szCs w:val="24"/>
              </w:rPr>
              <w:t>Further binding contractual clauses to the</w:t>
            </w:r>
          </w:p>
          <w:p w14:paraId="0BFB42AD" w14:textId="77777777" w:rsidR="00141D64" w:rsidRPr="00141D64" w:rsidRDefault="00141D64" w:rsidP="00141D64">
            <w:pPr>
              <w:pStyle w:val="Level3"/>
              <w:numPr>
                <w:ilvl w:val="0"/>
                <w:numId w:val="0"/>
              </w:numPr>
              <w:spacing w:after="0"/>
              <w:ind w:left="850" w:hanging="850"/>
              <w:rPr>
                <w:rFonts w:ascii="Times New Roman" w:hAnsi="Times New Roman" w:cs="Times New Roman"/>
                <w:sz w:val="24"/>
                <w:szCs w:val="24"/>
              </w:rPr>
            </w:pPr>
            <w:r w:rsidRPr="00141D64">
              <w:rPr>
                <w:rFonts w:ascii="Times New Roman" w:hAnsi="Times New Roman" w:cs="Times New Roman"/>
                <w:sz w:val="24"/>
                <w:szCs w:val="24"/>
              </w:rPr>
              <w:t>SCCs</w:t>
            </w:r>
          </w:p>
          <w:p w14:paraId="4139AFC1" w14:textId="77777777" w:rsidR="00141D64" w:rsidRDefault="00141D64" w:rsidP="00141D64">
            <w:pPr>
              <w:rPr>
                <w:rFonts w:ascii="Times New Roman" w:hAnsi="Times New Roman" w:cs="Times New Roman"/>
                <w:sz w:val="24"/>
                <w:szCs w:val="24"/>
              </w:rPr>
            </w:pPr>
            <w:r w:rsidRPr="00141D64">
              <w:rPr>
                <w:rFonts w:ascii="Times New Roman" w:hAnsi="Times New Roman" w:cs="Times New Roman"/>
                <w:sz w:val="24"/>
                <w:szCs w:val="24"/>
              </w:rPr>
              <w:t>(</w:t>
            </w:r>
            <w:r w:rsidRPr="00141D64">
              <w:rPr>
                <w:rFonts w:ascii="Times New Roman" w:hAnsi="Times New Roman" w:cs="Times New Roman"/>
                <w:b/>
                <w:i/>
                <w:sz w:val="24"/>
                <w:szCs w:val="24"/>
              </w:rPr>
              <w:t xml:space="preserve">NB: </w:t>
            </w:r>
            <w:r w:rsidRPr="00141D64">
              <w:rPr>
                <w:rFonts w:ascii="Times New Roman" w:hAnsi="Times New Roman" w:cs="Times New Roman"/>
                <w:i/>
                <w:sz w:val="24"/>
                <w:szCs w:val="24"/>
              </w:rPr>
              <w:t>the SCCs can be supplemented but not amended. Any contractual measure that might conflict with the SCCs must be notified to the Data Protection Commission</w:t>
            </w:r>
            <w:r w:rsidRPr="00141D64">
              <w:rPr>
                <w:rFonts w:ascii="Times New Roman" w:hAnsi="Times New Roman" w:cs="Times New Roman"/>
                <w:sz w:val="24"/>
                <w:szCs w:val="24"/>
              </w:rPr>
              <w:t>)</w:t>
            </w:r>
          </w:p>
          <w:p w14:paraId="5D184ED6" w14:textId="77777777" w:rsidR="00D713EA" w:rsidRPr="00141D64" w:rsidRDefault="00D713EA" w:rsidP="00141D64">
            <w:pPr>
              <w:rPr>
                <w:rFonts w:ascii="Times New Roman" w:hAnsi="Times New Roman" w:cs="Times New Roman"/>
                <w:i/>
                <w:sz w:val="24"/>
                <w:szCs w:val="24"/>
              </w:rPr>
            </w:pPr>
          </w:p>
        </w:tc>
        <w:tc>
          <w:tcPr>
            <w:tcW w:w="5664" w:type="dxa"/>
            <w:gridSpan w:val="3"/>
          </w:tcPr>
          <w:p w14:paraId="08954BC6"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Yes</w:t>
            </w:r>
          </w:p>
          <w:p w14:paraId="6288B136"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No</w:t>
            </w:r>
          </w:p>
          <w:p w14:paraId="31034CFE" w14:textId="77777777" w:rsidR="00141D64" w:rsidRPr="00141D64" w:rsidRDefault="00141D64" w:rsidP="00141D64">
            <w:pPr>
              <w:rPr>
                <w:rFonts w:ascii="Times New Roman" w:eastAsia="Times New Roman" w:hAnsi="Times New Roman" w:cs="Times New Roman"/>
                <w:sz w:val="24"/>
                <w:szCs w:val="24"/>
              </w:rPr>
            </w:pPr>
            <w:r w:rsidRPr="00141D64">
              <w:rPr>
                <w:rFonts w:ascii="Times New Roman" w:eastAsia="Times New Roman" w:hAnsi="Times New Roman" w:cs="Times New Roman"/>
                <w:sz w:val="24"/>
                <w:szCs w:val="24"/>
              </w:rPr>
              <w:t xml:space="preserve">[If yes, summarise the supplementary measure deployed] </w:t>
            </w:r>
          </w:p>
          <w:p w14:paraId="66AD8716" w14:textId="77777777" w:rsidR="00141D64" w:rsidRPr="00141D64" w:rsidRDefault="00141D64" w:rsidP="00141D64">
            <w:pPr>
              <w:rPr>
                <w:rFonts w:ascii="Times New Roman" w:hAnsi="Times New Roman" w:cs="Times New Roman"/>
                <w:i/>
                <w:sz w:val="24"/>
                <w:szCs w:val="24"/>
              </w:rPr>
            </w:pPr>
            <w:r w:rsidRPr="00141D64">
              <w:rPr>
                <w:rFonts w:ascii="Times New Roman" w:eastAsia="Times New Roman" w:hAnsi="Times New Roman" w:cs="Times New Roman"/>
                <w:sz w:val="24"/>
                <w:szCs w:val="24"/>
              </w:rPr>
              <w:t xml:space="preserve">[If no, state why this supplementary measure is not appropriate or required] </w:t>
            </w:r>
          </w:p>
        </w:tc>
      </w:tr>
      <w:tr w:rsidR="00141D64" w14:paraId="672F44FD" w14:textId="77777777" w:rsidTr="00B91DA7">
        <w:tc>
          <w:tcPr>
            <w:tcW w:w="846" w:type="dxa"/>
          </w:tcPr>
          <w:p w14:paraId="4A4CA339" w14:textId="77777777" w:rsidR="00141D64" w:rsidRPr="00141D64" w:rsidRDefault="00141D64" w:rsidP="00141D64">
            <w:pPr>
              <w:tabs>
                <w:tab w:val="left" w:pos="4215"/>
              </w:tabs>
              <w:rPr>
                <w:rFonts w:ascii="Times New Roman" w:hAnsi="Times New Roman" w:cs="Times New Roman"/>
                <w:sz w:val="24"/>
                <w:szCs w:val="24"/>
              </w:rPr>
            </w:pPr>
            <w:r w:rsidRPr="00141D64">
              <w:rPr>
                <w:rFonts w:ascii="Times New Roman" w:hAnsi="Times New Roman" w:cs="Times New Roman"/>
                <w:sz w:val="24"/>
                <w:szCs w:val="24"/>
              </w:rPr>
              <w:t>2.1.6</w:t>
            </w:r>
          </w:p>
        </w:tc>
        <w:tc>
          <w:tcPr>
            <w:tcW w:w="4252" w:type="dxa"/>
            <w:gridSpan w:val="2"/>
          </w:tcPr>
          <w:p w14:paraId="791E94CD" w14:textId="77777777" w:rsidR="00141D64" w:rsidRDefault="00141D64" w:rsidP="00141D64">
            <w:pPr>
              <w:pStyle w:val="Level3"/>
              <w:numPr>
                <w:ilvl w:val="0"/>
                <w:numId w:val="0"/>
              </w:numPr>
              <w:ind w:left="850" w:hanging="850"/>
              <w:rPr>
                <w:rFonts w:ascii="Times New Roman" w:hAnsi="Times New Roman" w:cs="Times New Roman"/>
                <w:sz w:val="24"/>
                <w:szCs w:val="24"/>
              </w:rPr>
            </w:pPr>
            <w:r w:rsidRPr="00141D64">
              <w:rPr>
                <w:rFonts w:ascii="Times New Roman" w:hAnsi="Times New Roman" w:cs="Times New Roman"/>
                <w:sz w:val="24"/>
                <w:szCs w:val="24"/>
              </w:rPr>
              <w:t>Organisational measures</w:t>
            </w:r>
          </w:p>
          <w:p w14:paraId="253F672C" w14:textId="77777777" w:rsidR="00820840" w:rsidRPr="00141D64" w:rsidRDefault="00820840" w:rsidP="00141D64">
            <w:pPr>
              <w:pStyle w:val="Level3"/>
              <w:numPr>
                <w:ilvl w:val="0"/>
                <w:numId w:val="0"/>
              </w:numPr>
              <w:ind w:left="850" w:hanging="850"/>
              <w:rPr>
                <w:rFonts w:ascii="Times New Roman" w:hAnsi="Times New Roman" w:cs="Times New Roman"/>
                <w:sz w:val="24"/>
                <w:szCs w:val="24"/>
              </w:rPr>
            </w:pPr>
          </w:p>
        </w:tc>
        <w:tc>
          <w:tcPr>
            <w:tcW w:w="5664" w:type="dxa"/>
            <w:gridSpan w:val="3"/>
          </w:tcPr>
          <w:p w14:paraId="0C65CFA4" w14:textId="77777777" w:rsidR="00141D64" w:rsidRP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Yes</w:t>
            </w:r>
          </w:p>
          <w:p w14:paraId="38DB7316" w14:textId="77777777" w:rsidR="00141D64" w:rsidRDefault="00141D64" w:rsidP="00141D64">
            <w:pPr>
              <w:rPr>
                <w:rFonts w:ascii="Times New Roman" w:eastAsia="Times New Roman" w:hAnsi="Times New Roman" w:cs="Times New Roman"/>
                <w:sz w:val="24"/>
                <w:szCs w:val="24"/>
              </w:rPr>
            </w:pPr>
            <w:r w:rsidRPr="00141D64">
              <w:rPr>
                <w:rFonts w:ascii="Segoe UI Symbol" w:eastAsia="Times New Roman" w:hAnsi="Segoe UI Symbol" w:cs="Segoe UI Symbol"/>
                <w:sz w:val="24"/>
                <w:szCs w:val="24"/>
              </w:rPr>
              <w:t>☐</w:t>
            </w:r>
            <w:r w:rsidRPr="00141D64">
              <w:rPr>
                <w:rFonts w:ascii="Times New Roman" w:eastAsia="Times New Roman" w:hAnsi="Times New Roman" w:cs="Times New Roman"/>
                <w:sz w:val="24"/>
                <w:szCs w:val="24"/>
              </w:rPr>
              <w:t xml:space="preserve"> No</w:t>
            </w:r>
          </w:p>
          <w:p w14:paraId="55DAE8C9" w14:textId="77777777" w:rsidR="00820840" w:rsidRPr="00141D64" w:rsidRDefault="00820840" w:rsidP="00141D64">
            <w:pPr>
              <w:rPr>
                <w:rFonts w:ascii="Times New Roman" w:eastAsia="Times New Roman" w:hAnsi="Times New Roman" w:cs="Times New Roman"/>
                <w:sz w:val="24"/>
                <w:szCs w:val="24"/>
              </w:rPr>
            </w:pPr>
          </w:p>
          <w:p w14:paraId="4A214009" w14:textId="77777777" w:rsidR="00141D64" w:rsidRDefault="00820840" w:rsidP="00141D6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w:t>
            </w:r>
            <w:r w:rsidR="00141D64" w:rsidRPr="00141D64">
              <w:rPr>
                <w:rFonts w:ascii="Times New Roman" w:eastAsia="Times New Roman" w:hAnsi="Times New Roman" w:cs="Times New Roman"/>
                <w:sz w:val="24"/>
                <w:szCs w:val="24"/>
              </w:rPr>
              <w:t xml:space="preserve">, summarise the supplementary measure deployed] </w:t>
            </w:r>
          </w:p>
          <w:p w14:paraId="78A26B03" w14:textId="77777777" w:rsidR="00820840" w:rsidRPr="00141D64" w:rsidRDefault="00820840" w:rsidP="00141D64">
            <w:pPr>
              <w:rPr>
                <w:rFonts w:ascii="Times New Roman" w:eastAsia="Times New Roman" w:hAnsi="Times New Roman" w:cs="Times New Roman"/>
                <w:sz w:val="24"/>
                <w:szCs w:val="24"/>
              </w:rPr>
            </w:pPr>
          </w:p>
          <w:p w14:paraId="09F058D1" w14:textId="77777777" w:rsidR="00141D64" w:rsidRDefault="00820840" w:rsidP="00141D6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‘No’</w:t>
            </w:r>
            <w:r w:rsidR="00141D64" w:rsidRPr="00141D64">
              <w:rPr>
                <w:rFonts w:ascii="Times New Roman" w:eastAsia="Times New Roman" w:hAnsi="Times New Roman" w:cs="Times New Roman"/>
                <w:sz w:val="24"/>
                <w:szCs w:val="24"/>
              </w:rPr>
              <w:t xml:space="preserve">, state why this supplementary measure is not appropriate or required] </w:t>
            </w:r>
          </w:p>
          <w:p w14:paraId="648BEDD1" w14:textId="77777777" w:rsidR="00141D64" w:rsidRPr="00141D64" w:rsidRDefault="00141D64" w:rsidP="00141D64">
            <w:pPr>
              <w:rPr>
                <w:rFonts w:ascii="Times New Roman" w:hAnsi="Times New Roman" w:cs="Times New Roman"/>
                <w:i/>
                <w:sz w:val="24"/>
                <w:szCs w:val="24"/>
              </w:rPr>
            </w:pPr>
          </w:p>
        </w:tc>
      </w:tr>
      <w:tr w:rsidR="00FE7F08" w14:paraId="2F43A40A" w14:textId="77777777" w:rsidTr="00FE7F08">
        <w:tc>
          <w:tcPr>
            <w:tcW w:w="846" w:type="dxa"/>
            <w:shd w:val="clear" w:color="auto" w:fill="FFF2CC" w:themeFill="accent4" w:themeFillTint="33"/>
          </w:tcPr>
          <w:p w14:paraId="1B76847D" w14:textId="77777777" w:rsidR="00FE7F08" w:rsidRPr="00FE7F08" w:rsidRDefault="00FE7F08" w:rsidP="00FE7F08">
            <w:pPr>
              <w:pStyle w:val="Level2"/>
              <w:numPr>
                <w:ilvl w:val="0"/>
                <w:numId w:val="0"/>
              </w:numPr>
              <w:spacing w:before="120" w:after="120"/>
              <w:rPr>
                <w:rFonts w:ascii="Times New Roman" w:hAnsi="Times New Roman" w:cs="Times New Roman"/>
                <w:sz w:val="24"/>
                <w:szCs w:val="24"/>
              </w:rPr>
            </w:pPr>
            <w:r>
              <w:rPr>
                <w:rFonts w:ascii="Times New Roman" w:hAnsi="Times New Roman" w:cs="Times New Roman"/>
                <w:sz w:val="24"/>
                <w:szCs w:val="24"/>
              </w:rPr>
              <w:t>2.2</w:t>
            </w:r>
          </w:p>
        </w:tc>
        <w:tc>
          <w:tcPr>
            <w:tcW w:w="9916" w:type="dxa"/>
            <w:gridSpan w:val="5"/>
            <w:shd w:val="clear" w:color="auto" w:fill="FFF2CC" w:themeFill="accent4" w:themeFillTint="33"/>
          </w:tcPr>
          <w:p w14:paraId="2CC57C70" w14:textId="77777777" w:rsidR="00FE7F08" w:rsidRPr="00FE7F08" w:rsidRDefault="00FE7F08" w:rsidP="00FE7F08">
            <w:pPr>
              <w:pStyle w:val="Level1"/>
              <w:numPr>
                <w:ilvl w:val="0"/>
                <w:numId w:val="0"/>
              </w:numPr>
              <w:spacing w:before="120" w:after="120"/>
              <w:ind w:left="57" w:right="74"/>
              <w:jc w:val="left"/>
              <w:rPr>
                <w:rFonts w:ascii="Times New Roman" w:hAnsi="Times New Roman" w:cs="Times New Roman"/>
                <w:b/>
                <w:sz w:val="24"/>
                <w:szCs w:val="24"/>
              </w:rPr>
            </w:pPr>
            <w:r w:rsidRPr="00FE7F08">
              <w:rPr>
                <w:rFonts w:ascii="Times New Roman" w:hAnsi="Times New Roman" w:cs="Times New Roman"/>
                <w:b/>
                <w:sz w:val="24"/>
                <w:szCs w:val="24"/>
              </w:rPr>
              <w:t>Assessment of supplementary measures to appropriate safeguards</w:t>
            </w:r>
          </w:p>
        </w:tc>
      </w:tr>
      <w:tr w:rsidR="00FE7F08" w14:paraId="346FC011" w14:textId="77777777" w:rsidTr="00B91DA7">
        <w:tc>
          <w:tcPr>
            <w:tcW w:w="846" w:type="dxa"/>
          </w:tcPr>
          <w:p w14:paraId="50F8D4D2" w14:textId="77777777" w:rsidR="00FE7F08" w:rsidRPr="00FE7F08" w:rsidRDefault="00FE7F08" w:rsidP="00FE7F08">
            <w:pPr>
              <w:pStyle w:val="Level3"/>
              <w:numPr>
                <w:ilvl w:val="0"/>
                <w:numId w:val="0"/>
              </w:numPr>
              <w:rPr>
                <w:rFonts w:ascii="Times New Roman" w:hAnsi="Times New Roman" w:cs="Times New Roman"/>
                <w:sz w:val="24"/>
                <w:szCs w:val="24"/>
              </w:rPr>
            </w:pPr>
            <w:r>
              <w:rPr>
                <w:rFonts w:ascii="Times New Roman" w:hAnsi="Times New Roman" w:cs="Times New Roman"/>
                <w:sz w:val="24"/>
                <w:szCs w:val="24"/>
              </w:rPr>
              <w:t>2.2.1</w:t>
            </w:r>
          </w:p>
        </w:tc>
        <w:tc>
          <w:tcPr>
            <w:tcW w:w="4252" w:type="dxa"/>
            <w:gridSpan w:val="2"/>
          </w:tcPr>
          <w:p w14:paraId="7509572D" w14:textId="77777777" w:rsidR="00FE7F08" w:rsidRPr="00FE7F08" w:rsidRDefault="00FE7F08" w:rsidP="00FE7F08">
            <w:pPr>
              <w:pStyle w:val="Level1"/>
              <w:numPr>
                <w:ilvl w:val="0"/>
                <w:numId w:val="0"/>
              </w:numPr>
              <w:spacing w:after="0"/>
              <w:ind w:left="57" w:right="74"/>
              <w:jc w:val="left"/>
              <w:rPr>
                <w:rFonts w:ascii="Times New Roman" w:eastAsiaTheme="minorEastAsia" w:hAnsi="Times New Roman" w:cs="Times New Roman"/>
                <w:sz w:val="24"/>
                <w:szCs w:val="24"/>
                <w:lang w:val="en-IE" w:eastAsia="en-IE"/>
              </w:rPr>
            </w:pPr>
            <w:r w:rsidRPr="00FE7F08">
              <w:rPr>
                <w:rFonts w:ascii="Times New Roman" w:eastAsiaTheme="minorEastAsia" w:hAnsi="Times New Roman" w:cs="Times New Roman"/>
                <w:sz w:val="24"/>
                <w:szCs w:val="24"/>
                <w:lang w:val="en-IE" w:eastAsia="en-IE"/>
              </w:rPr>
              <w:t xml:space="preserve">Is the HSE satisfied that the supplementary measures identified at section B(2) will </w:t>
            </w:r>
            <w:r>
              <w:rPr>
                <w:rFonts w:ascii="Times New Roman" w:eastAsiaTheme="minorEastAsia" w:hAnsi="Times New Roman" w:cs="Times New Roman"/>
                <w:sz w:val="24"/>
                <w:szCs w:val="24"/>
                <w:lang w:val="en-IE" w:eastAsia="en-IE"/>
              </w:rPr>
              <w:t xml:space="preserve">provide a level </w:t>
            </w:r>
            <w:r w:rsidRPr="00FE7F08">
              <w:rPr>
                <w:rFonts w:ascii="Times New Roman" w:eastAsiaTheme="minorEastAsia" w:hAnsi="Times New Roman" w:cs="Times New Roman"/>
                <w:sz w:val="24"/>
                <w:szCs w:val="24"/>
                <w:lang w:val="en-IE" w:eastAsia="en-IE"/>
              </w:rPr>
              <w:t>of protection for data subjects essentially equivalent to that found in the EU (by the GDPR read in light of the Charter of Fundamental Rights)?</w:t>
            </w:r>
          </w:p>
          <w:p w14:paraId="02623FDB" w14:textId="77777777" w:rsidR="00FE7F08" w:rsidRPr="00FE7F08" w:rsidRDefault="00FE7F08" w:rsidP="00FE7F08">
            <w:pPr>
              <w:pStyle w:val="Level1"/>
              <w:numPr>
                <w:ilvl w:val="0"/>
                <w:numId w:val="0"/>
              </w:numPr>
              <w:spacing w:after="0"/>
              <w:ind w:left="57" w:right="74"/>
              <w:jc w:val="left"/>
              <w:rPr>
                <w:rFonts w:ascii="Times New Roman" w:eastAsiaTheme="minorEastAsia" w:hAnsi="Times New Roman" w:cs="Times New Roman"/>
                <w:sz w:val="24"/>
                <w:szCs w:val="24"/>
                <w:lang w:val="en-IE" w:eastAsia="en-IE"/>
              </w:rPr>
            </w:pPr>
          </w:p>
          <w:p w14:paraId="0E385442" w14:textId="77777777" w:rsidR="00FE7F08" w:rsidRPr="00FE7F08" w:rsidRDefault="00FE7F08" w:rsidP="00FE7F08">
            <w:pPr>
              <w:pStyle w:val="Level1"/>
              <w:numPr>
                <w:ilvl w:val="0"/>
                <w:numId w:val="0"/>
              </w:numPr>
              <w:spacing w:after="0"/>
              <w:ind w:left="57" w:right="74"/>
              <w:jc w:val="left"/>
              <w:rPr>
                <w:rFonts w:ascii="Times New Roman" w:hAnsi="Times New Roman" w:cs="Times New Roman"/>
                <w:b/>
                <w:sz w:val="24"/>
                <w:szCs w:val="24"/>
              </w:rPr>
            </w:pPr>
          </w:p>
        </w:tc>
        <w:tc>
          <w:tcPr>
            <w:tcW w:w="5664" w:type="dxa"/>
            <w:gridSpan w:val="3"/>
          </w:tcPr>
          <w:p w14:paraId="22051517" w14:textId="77777777" w:rsidR="00FE7F08" w:rsidRDefault="00FE7F08" w:rsidP="00FE7F08">
            <w:pPr>
              <w:autoSpaceDE w:val="0"/>
              <w:autoSpaceDN w:val="0"/>
              <w:adjustRightInd w:val="0"/>
              <w:rPr>
                <w:rFonts w:ascii="Times New Roman" w:eastAsiaTheme="minorEastAsia" w:hAnsi="Times New Roman" w:cs="Times New Roman"/>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Yes</w:t>
            </w:r>
            <w:r w:rsidRPr="00FE7F08">
              <w:rPr>
                <w:rFonts w:ascii="Times New Roman" w:eastAsiaTheme="minorEastAsia" w:hAnsi="Times New Roman" w:cs="Times New Roman"/>
                <w:sz w:val="24"/>
                <w:szCs w:val="24"/>
                <w:lang w:eastAsia="en-IE"/>
              </w:rPr>
              <w:tab/>
              <w:t>[</w:t>
            </w:r>
            <w:r w:rsidRPr="00FE7F08">
              <w:rPr>
                <w:rFonts w:ascii="Times New Roman" w:eastAsiaTheme="minorEastAsia" w:hAnsi="Times New Roman" w:cs="Times New Roman"/>
                <w:i/>
                <w:sz w:val="24"/>
                <w:szCs w:val="24"/>
                <w:lang w:eastAsia="en-IE"/>
              </w:rPr>
              <w:t xml:space="preserve">if Yes, continue to </w:t>
            </w:r>
            <w:r w:rsidR="00204564">
              <w:rPr>
                <w:rFonts w:ascii="Times New Roman" w:eastAsiaTheme="minorEastAsia" w:hAnsi="Times New Roman" w:cs="Times New Roman"/>
                <w:i/>
                <w:sz w:val="24"/>
                <w:szCs w:val="24"/>
                <w:lang w:eastAsia="en-IE"/>
              </w:rPr>
              <w:t>2.2.2</w:t>
            </w:r>
            <w:r w:rsidRPr="00FE7F08">
              <w:rPr>
                <w:rFonts w:ascii="Times New Roman" w:eastAsiaTheme="minorEastAsia" w:hAnsi="Times New Roman" w:cs="Times New Roman"/>
                <w:i/>
                <w:sz w:val="24"/>
                <w:szCs w:val="24"/>
                <w:lang w:eastAsia="en-IE"/>
              </w:rPr>
              <w:t xml:space="preserve"> below</w:t>
            </w:r>
            <w:r w:rsidRPr="00FE7F08">
              <w:rPr>
                <w:rFonts w:ascii="Times New Roman" w:eastAsiaTheme="minorEastAsia" w:hAnsi="Times New Roman" w:cs="Times New Roman"/>
                <w:sz w:val="24"/>
                <w:szCs w:val="24"/>
                <w:lang w:eastAsia="en-IE"/>
              </w:rPr>
              <w:t>]</w:t>
            </w:r>
          </w:p>
          <w:p w14:paraId="3806C4CF" w14:textId="77777777" w:rsidR="00FE7F08" w:rsidRPr="00FE7F08" w:rsidRDefault="00FE7F08" w:rsidP="00FE7F08">
            <w:pPr>
              <w:autoSpaceDE w:val="0"/>
              <w:autoSpaceDN w:val="0"/>
              <w:adjustRightInd w:val="0"/>
              <w:rPr>
                <w:rFonts w:ascii="Times New Roman" w:eastAsiaTheme="minorEastAsia" w:hAnsi="Times New Roman" w:cs="Times New Roman"/>
                <w:i/>
                <w:iCs/>
                <w:sz w:val="24"/>
                <w:szCs w:val="24"/>
                <w:lang w:eastAsia="en-IE"/>
              </w:rPr>
            </w:pPr>
          </w:p>
          <w:p w14:paraId="76B90E8A" w14:textId="77777777" w:rsidR="00FE7F08" w:rsidRPr="00FE7F08" w:rsidRDefault="00FE7F08" w:rsidP="00FE7F08">
            <w:pPr>
              <w:autoSpaceDE w:val="0"/>
              <w:autoSpaceDN w:val="0"/>
              <w:adjustRightInd w:val="0"/>
              <w:ind w:left="704" w:hanging="704"/>
              <w:rPr>
                <w:rFonts w:ascii="Times New Roman" w:hAnsi="Times New Roman" w:cs="Times New Roman"/>
                <w:i/>
                <w:sz w:val="24"/>
                <w:szCs w:val="24"/>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No</w:t>
            </w:r>
            <w:r w:rsidRPr="00FE7F08">
              <w:rPr>
                <w:rFonts w:ascii="Times New Roman" w:eastAsiaTheme="minorEastAsia" w:hAnsi="Times New Roman" w:cs="Times New Roman"/>
                <w:sz w:val="24"/>
                <w:szCs w:val="24"/>
                <w:lang w:eastAsia="en-IE"/>
              </w:rPr>
              <w:tab/>
              <w:t>SCCs cannot be relied upon so the transfer cannot proceed (a limited exception under GDPR may apply but legal advice should be obtained prior to reliance upon such an exemption).</w:t>
            </w:r>
          </w:p>
        </w:tc>
      </w:tr>
      <w:tr w:rsidR="00FE7F08" w14:paraId="27FA2ED8" w14:textId="77777777" w:rsidTr="00B91DA7">
        <w:tc>
          <w:tcPr>
            <w:tcW w:w="846" w:type="dxa"/>
          </w:tcPr>
          <w:p w14:paraId="3E281070" w14:textId="77777777" w:rsidR="00FE7F08" w:rsidRPr="00FE7F08" w:rsidRDefault="00FE7F08" w:rsidP="00FE7F08">
            <w:pPr>
              <w:pStyle w:val="Level3"/>
              <w:numPr>
                <w:ilvl w:val="0"/>
                <w:numId w:val="0"/>
              </w:numPr>
              <w:rPr>
                <w:rFonts w:ascii="Times New Roman" w:hAnsi="Times New Roman" w:cs="Times New Roman"/>
                <w:sz w:val="24"/>
                <w:szCs w:val="24"/>
              </w:rPr>
            </w:pPr>
            <w:bookmarkStart w:id="1" w:name="_Ref85533915"/>
            <w:r>
              <w:rPr>
                <w:rFonts w:ascii="Times New Roman" w:hAnsi="Times New Roman" w:cs="Times New Roman"/>
                <w:sz w:val="24"/>
                <w:szCs w:val="24"/>
              </w:rPr>
              <w:t>2.2.2</w:t>
            </w:r>
          </w:p>
        </w:tc>
        <w:bookmarkEnd w:id="1"/>
        <w:tc>
          <w:tcPr>
            <w:tcW w:w="4252" w:type="dxa"/>
            <w:gridSpan w:val="2"/>
          </w:tcPr>
          <w:p w14:paraId="220B5E5F" w14:textId="77777777" w:rsidR="00FE7F08" w:rsidRPr="00FE7F08" w:rsidRDefault="00FE7F08" w:rsidP="00FE7F08">
            <w:pPr>
              <w:pStyle w:val="Level1"/>
              <w:numPr>
                <w:ilvl w:val="0"/>
                <w:numId w:val="0"/>
              </w:numPr>
              <w:spacing w:after="0"/>
              <w:ind w:left="57" w:right="74"/>
              <w:jc w:val="left"/>
              <w:rPr>
                <w:rFonts w:ascii="Times New Roman" w:hAnsi="Times New Roman" w:cs="Times New Roman"/>
                <w:b/>
                <w:sz w:val="24"/>
                <w:szCs w:val="24"/>
              </w:rPr>
            </w:pPr>
            <w:r w:rsidRPr="00FE7F08">
              <w:rPr>
                <w:rFonts w:ascii="Times New Roman" w:eastAsiaTheme="minorEastAsia" w:hAnsi="Times New Roman" w:cs="Times New Roman"/>
                <w:sz w:val="24"/>
                <w:szCs w:val="24"/>
                <w:lang w:val="en-IE" w:eastAsia="en-IE"/>
              </w:rPr>
              <w:t xml:space="preserve">Is the HSE satisfied that the law of the third country does </w:t>
            </w:r>
            <w:r w:rsidRPr="00FE7F08">
              <w:rPr>
                <w:rFonts w:ascii="Times New Roman" w:eastAsiaTheme="minorEastAsia" w:hAnsi="Times New Roman" w:cs="Times New Roman"/>
                <w:b/>
                <w:bCs/>
                <w:sz w:val="24"/>
                <w:szCs w:val="24"/>
                <w:lang w:val="en-IE" w:eastAsia="en-IE"/>
              </w:rPr>
              <w:t>not</w:t>
            </w:r>
            <w:r w:rsidRPr="00FE7F08">
              <w:rPr>
                <w:rFonts w:ascii="Times New Roman" w:eastAsiaTheme="minorEastAsia" w:hAnsi="Times New Roman" w:cs="Times New Roman"/>
                <w:sz w:val="24"/>
                <w:szCs w:val="24"/>
                <w:lang w:val="en-IE" w:eastAsia="en-IE"/>
              </w:rPr>
              <w:t xml:space="preserve"> prohibit or otherwise prevent the effectiveness of these supplementary measures?</w:t>
            </w:r>
          </w:p>
        </w:tc>
        <w:tc>
          <w:tcPr>
            <w:tcW w:w="5664" w:type="dxa"/>
            <w:gridSpan w:val="3"/>
          </w:tcPr>
          <w:p w14:paraId="29303981" w14:textId="77777777" w:rsidR="00FE7F08" w:rsidRDefault="00FE7F08" w:rsidP="00FE7F08">
            <w:pPr>
              <w:autoSpaceDE w:val="0"/>
              <w:autoSpaceDN w:val="0"/>
              <w:adjustRightInd w:val="0"/>
              <w:rPr>
                <w:rFonts w:ascii="Times New Roman" w:eastAsiaTheme="minorEastAsia" w:hAnsi="Times New Roman" w:cs="Times New Roman"/>
                <w:iCs/>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Yes</w:t>
            </w:r>
            <w:r w:rsidRPr="00FE7F08">
              <w:rPr>
                <w:rFonts w:ascii="Times New Roman" w:eastAsiaTheme="minorEastAsia" w:hAnsi="Times New Roman" w:cs="Times New Roman"/>
                <w:sz w:val="24"/>
                <w:szCs w:val="24"/>
                <w:lang w:eastAsia="en-IE"/>
              </w:rPr>
              <w:tab/>
              <w:t>[</w:t>
            </w:r>
            <w:r w:rsidRPr="00FE7F08">
              <w:rPr>
                <w:rFonts w:ascii="Times New Roman" w:eastAsiaTheme="minorEastAsia" w:hAnsi="Times New Roman" w:cs="Times New Roman"/>
                <w:i/>
                <w:iCs/>
                <w:sz w:val="24"/>
                <w:szCs w:val="24"/>
                <w:lang w:eastAsia="en-IE"/>
              </w:rPr>
              <w:t>state reasons</w:t>
            </w:r>
            <w:r w:rsidRPr="00FE7F08">
              <w:rPr>
                <w:rFonts w:ascii="Times New Roman" w:eastAsiaTheme="minorEastAsia" w:hAnsi="Times New Roman" w:cs="Times New Roman"/>
                <w:iCs/>
                <w:sz w:val="24"/>
                <w:szCs w:val="24"/>
                <w:lang w:eastAsia="en-IE"/>
              </w:rPr>
              <w:t>]</w:t>
            </w:r>
          </w:p>
          <w:p w14:paraId="3A1ADF48" w14:textId="77777777" w:rsidR="00FE7F08" w:rsidRPr="00FE7F08" w:rsidRDefault="00FE7F08" w:rsidP="00FE7F08">
            <w:pPr>
              <w:autoSpaceDE w:val="0"/>
              <w:autoSpaceDN w:val="0"/>
              <w:adjustRightInd w:val="0"/>
              <w:rPr>
                <w:rFonts w:ascii="Times New Roman" w:eastAsiaTheme="minorEastAsia" w:hAnsi="Times New Roman" w:cs="Times New Roman"/>
                <w:i/>
                <w:iCs/>
                <w:sz w:val="24"/>
                <w:szCs w:val="24"/>
                <w:lang w:eastAsia="en-IE"/>
              </w:rPr>
            </w:pPr>
          </w:p>
          <w:p w14:paraId="33F4A9B2"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r w:rsidRPr="00FE7F08">
              <w:rPr>
                <w:rFonts w:ascii="Segoe UI Symbol" w:eastAsiaTheme="minorEastAsia" w:hAnsi="Segoe UI Symbol" w:cs="Segoe UI Symbol"/>
                <w:sz w:val="24"/>
                <w:szCs w:val="24"/>
                <w:lang w:eastAsia="en-IE"/>
              </w:rPr>
              <w:t>☐</w:t>
            </w:r>
            <w:r w:rsidRPr="00FE7F08">
              <w:rPr>
                <w:rFonts w:ascii="Times New Roman" w:eastAsiaTheme="minorEastAsia" w:hAnsi="Times New Roman" w:cs="Times New Roman"/>
                <w:sz w:val="24"/>
                <w:szCs w:val="24"/>
                <w:lang w:eastAsia="en-IE"/>
              </w:rPr>
              <w:t> No</w:t>
            </w:r>
            <w:r w:rsidRPr="00FE7F08">
              <w:rPr>
                <w:rFonts w:ascii="Times New Roman" w:eastAsiaTheme="minorEastAsia" w:hAnsi="Times New Roman" w:cs="Times New Roman"/>
                <w:sz w:val="24"/>
                <w:szCs w:val="24"/>
                <w:lang w:eastAsia="en-IE"/>
              </w:rPr>
              <w:tab/>
              <w:t>SCCs cannot be relied upon so the transfer can</w:t>
            </w:r>
            <w:r w:rsidR="00204564">
              <w:rPr>
                <w:rFonts w:ascii="Times New Roman" w:eastAsiaTheme="minorEastAsia" w:hAnsi="Times New Roman" w:cs="Times New Roman"/>
                <w:sz w:val="24"/>
                <w:szCs w:val="24"/>
                <w:lang w:eastAsia="en-IE"/>
              </w:rPr>
              <w:t>not proceed (a limited exemption</w:t>
            </w:r>
            <w:r w:rsidRPr="00FE7F08">
              <w:rPr>
                <w:rFonts w:ascii="Times New Roman" w:eastAsiaTheme="minorEastAsia" w:hAnsi="Times New Roman" w:cs="Times New Roman"/>
                <w:sz w:val="24"/>
                <w:szCs w:val="24"/>
                <w:lang w:eastAsia="en-IE"/>
              </w:rPr>
              <w:t xml:space="preserve"> under GDPR may apply but legal advice should be obtained prior to reliance upon such an exemption).</w:t>
            </w:r>
          </w:p>
          <w:p w14:paraId="4C1ED1A7"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p>
          <w:p w14:paraId="555DD227" w14:textId="77777777" w:rsidR="00FE7F08" w:rsidRPr="00FE7F08" w:rsidRDefault="00FE7F08" w:rsidP="00FE7F08">
            <w:pPr>
              <w:autoSpaceDE w:val="0"/>
              <w:autoSpaceDN w:val="0"/>
              <w:adjustRightInd w:val="0"/>
              <w:ind w:left="704" w:hanging="704"/>
              <w:rPr>
                <w:rFonts w:ascii="Times New Roman" w:eastAsiaTheme="minorEastAsia" w:hAnsi="Times New Roman" w:cs="Times New Roman"/>
                <w:sz w:val="24"/>
                <w:szCs w:val="24"/>
                <w:lang w:eastAsia="en-IE"/>
              </w:rPr>
            </w:pPr>
          </w:p>
          <w:p w14:paraId="0B53FDE2" w14:textId="77777777" w:rsidR="00FE7F08" w:rsidRDefault="00FE7F08" w:rsidP="00FE7F08">
            <w:pPr>
              <w:autoSpaceDE w:val="0"/>
              <w:autoSpaceDN w:val="0"/>
              <w:adjustRightInd w:val="0"/>
              <w:ind w:left="704" w:hanging="704"/>
              <w:rPr>
                <w:rFonts w:ascii="Times New Roman" w:hAnsi="Times New Roman" w:cs="Times New Roman"/>
                <w:i/>
                <w:sz w:val="24"/>
                <w:szCs w:val="24"/>
              </w:rPr>
            </w:pPr>
          </w:p>
          <w:p w14:paraId="303F872B"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10313BB7"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4BCC8CB5"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013EE28F"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64864384"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0DD9084F" w14:textId="77777777" w:rsidR="00204564" w:rsidRDefault="00204564" w:rsidP="00FE7F08">
            <w:pPr>
              <w:autoSpaceDE w:val="0"/>
              <w:autoSpaceDN w:val="0"/>
              <w:adjustRightInd w:val="0"/>
              <w:ind w:left="704" w:hanging="704"/>
              <w:rPr>
                <w:rFonts w:ascii="Times New Roman" w:hAnsi="Times New Roman" w:cs="Times New Roman"/>
                <w:i/>
                <w:sz w:val="24"/>
                <w:szCs w:val="24"/>
              </w:rPr>
            </w:pPr>
          </w:p>
          <w:p w14:paraId="5A20661C" w14:textId="77777777" w:rsidR="00204564" w:rsidRPr="00FE7F08" w:rsidRDefault="00204564" w:rsidP="00FE7F08">
            <w:pPr>
              <w:autoSpaceDE w:val="0"/>
              <w:autoSpaceDN w:val="0"/>
              <w:adjustRightInd w:val="0"/>
              <w:ind w:left="704" w:hanging="704"/>
              <w:rPr>
                <w:rFonts w:ascii="Times New Roman" w:hAnsi="Times New Roman" w:cs="Times New Roman"/>
                <w:i/>
                <w:sz w:val="24"/>
                <w:szCs w:val="24"/>
              </w:rPr>
            </w:pPr>
          </w:p>
        </w:tc>
      </w:tr>
      <w:tr w:rsidR="00FE7F08" w14:paraId="2084A0BB" w14:textId="77777777" w:rsidTr="00FE7F08">
        <w:tc>
          <w:tcPr>
            <w:tcW w:w="10762" w:type="dxa"/>
            <w:gridSpan w:val="6"/>
            <w:shd w:val="clear" w:color="auto" w:fill="D9E2F3" w:themeFill="accent5" w:themeFillTint="33"/>
          </w:tcPr>
          <w:p w14:paraId="43E3D2CF" w14:textId="77777777" w:rsidR="00FE7F08" w:rsidRPr="00FE7F08" w:rsidRDefault="00FE7F08" w:rsidP="00FE7F08">
            <w:pPr>
              <w:autoSpaceDE w:val="0"/>
              <w:autoSpaceDN w:val="0"/>
              <w:adjustRightInd w:val="0"/>
              <w:rPr>
                <w:rFonts w:ascii="Segoe UI Symbol" w:eastAsiaTheme="minorEastAsia" w:hAnsi="Segoe UI Symbol" w:cs="Segoe UI Symbol"/>
                <w:sz w:val="20"/>
                <w:szCs w:val="20"/>
                <w:lang w:eastAsia="en-IE"/>
              </w:rPr>
            </w:pPr>
          </w:p>
          <w:p w14:paraId="161B2DD6" w14:textId="77777777" w:rsidR="00FE7F08" w:rsidRPr="00FE7F08" w:rsidRDefault="00FE7F08" w:rsidP="00FE7F08">
            <w:pPr>
              <w:autoSpaceDE w:val="0"/>
              <w:autoSpaceDN w:val="0"/>
              <w:adjustRightInd w:val="0"/>
              <w:rPr>
                <w:rFonts w:ascii="Times New Roman" w:eastAsiaTheme="minorEastAsia" w:hAnsi="Times New Roman" w:cs="Times New Roman"/>
                <w:b/>
                <w:sz w:val="24"/>
                <w:szCs w:val="24"/>
                <w:lang w:eastAsia="en-IE"/>
              </w:rPr>
            </w:pPr>
            <w:r>
              <w:rPr>
                <w:rFonts w:ascii="Times New Roman" w:eastAsiaTheme="minorEastAsia" w:hAnsi="Times New Roman" w:cs="Times New Roman"/>
                <w:b/>
                <w:sz w:val="24"/>
                <w:szCs w:val="24"/>
                <w:lang w:eastAsia="en-IE"/>
              </w:rPr>
              <w:t>Section C. T</w:t>
            </w:r>
            <w:r w:rsidRPr="00FE7F08">
              <w:rPr>
                <w:rFonts w:ascii="Times New Roman" w:eastAsiaTheme="minorEastAsia" w:hAnsi="Times New Roman" w:cs="Times New Roman"/>
                <w:b/>
                <w:sz w:val="24"/>
                <w:szCs w:val="24"/>
                <w:lang w:eastAsia="en-IE"/>
              </w:rPr>
              <w:t xml:space="preserve">ransfer Risk Assessment Approval </w:t>
            </w:r>
          </w:p>
          <w:p w14:paraId="2BBA2E08" w14:textId="77777777" w:rsidR="00FE7F08" w:rsidRPr="00FE7F08" w:rsidRDefault="00FE7F08" w:rsidP="00FE7F08">
            <w:pPr>
              <w:autoSpaceDE w:val="0"/>
              <w:autoSpaceDN w:val="0"/>
              <w:adjustRightInd w:val="0"/>
              <w:rPr>
                <w:rFonts w:ascii="Segoe UI Symbol" w:eastAsiaTheme="minorEastAsia" w:hAnsi="Segoe UI Symbol" w:cs="Segoe UI Symbol"/>
                <w:sz w:val="20"/>
                <w:szCs w:val="20"/>
                <w:lang w:eastAsia="en-IE"/>
              </w:rPr>
            </w:pPr>
          </w:p>
        </w:tc>
      </w:tr>
      <w:tr w:rsidR="00FE7F08" w14:paraId="7534341B" w14:textId="77777777" w:rsidTr="00184D69">
        <w:tc>
          <w:tcPr>
            <w:tcW w:w="5098" w:type="dxa"/>
            <w:gridSpan w:val="3"/>
          </w:tcPr>
          <w:p w14:paraId="1B16E5C6" w14:textId="77777777" w:rsidR="00FE7F08" w:rsidRPr="00FE7F08" w:rsidRDefault="00FE7F08" w:rsidP="00FE7F08">
            <w:pPr>
              <w:pStyle w:val="Level1"/>
              <w:numPr>
                <w:ilvl w:val="0"/>
                <w:numId w:val="0"/>
              </w:numPr>
              <w:spacing w:after="0"/>
              <w:rPr>
                <w:rFonts w:ascii="Times New Roman" w:hAnsi="Times New Roman" w:cs="Times New Roman"/>
                <w:b/>
                <w:color w:val="000000" w:themeColor="text1"/>
                <w:sz w:val="24"/>
                <w:szCs w:val="24"/>
              </w:rPr>
            </w:pPr>
            <w:r w:rsidRPr="00FE7F08">
              <w:rPr>
                <w:rFonts w:ascii="Times New Roman" w:hAnsi="Times New Roman" w:cs="Times New Roman"/>
                <w:b/>
                <w:color w:val="000000" w:themeColor="text1"/>
                <w:sz w:val="24"/>
                <w:szCs w:val="24"/>
              </w:rPr>
              <w:t>Date of next review:</w:t>
            </w:r>
          </w:p>
        </w:tc>
        <w:tc>
          <w:tcPr>
            <w:tcW w:w="5664" w:type="dxa"/>
            <w:gridSpan w:val="3"/>
          </w:tcPr>
          <w:p w14:paraId="5879AD7A" w14:textId="77777777" w:rsidR="00FE7F08" w:rsidRDefault="00FE7F08" w:rsidP="00FE7F08">
            <w:pPr>
              <w:pStyle w:val="Level1"/>
              <w:numPr>
                <w:ilvl w:val="0"/>
                <w:numId w:val="0"/>
              </w:numPr>
              <w:spacing w:after="0"/>
              <w:rPr>
                <w:rFonts w:ascii="Times New Roman" w:hAnsi="Times New Roman" w:cs="Times New Roman"/>
                <w:i/>
                <w:color w:val="000000" w:themeColor="text1"/>
                <w:sz w:val="24"/>
                <w:szCs w:val="24"/>
              </w:rPr>
            </w:pPr>
            <w:r w:rsidRPr="00FE7F08">
              <w:rPr>
                <w:rFonts w:ascii="Times New Roman" w:hAnsi="Times New Roman" w:cs="Times New Roman"/>
                <w:i/>
                <w:color w:val="000000" w:themeColor="text1"/>
                <w:sz w:val="24"/>
                <w:szCs w:val="24"/>
              </w:rPr>
              <w:t>[Insert proposed review date or state recommended frequency of review]</w:t>
            </w:r>
          </w:p>
          <w:p w14:paraId="4F010546" w14:textId="77777777" w:rsidR="00FE7F08" w:rsidRPr="00FE7F08" w:rsidRDefault="00FE7F08" w:rsidP="00FE7F08">
            <w:pPr>
              <w:pStyle w:val="Level1"/>
              <w:numPr>
                <w:ilvl w:val="0"/>
                <w:numId w:val="0"/>
              </w:numPr>
              <w:spacing w:after="0"/>
              <w:rPr>
                <w:rFonts w:ascii="Times New Roman" w:hAnsi="Times New Roman" w:cs="Times New Roman"/>
                <w:i/>
                <w:color w:val="000000" w:themeColor="text1"/>
                <w:sz w:val="24"/>
                <w:szCs w:val="24"/>
              </w:rPr>
            </w:pPr>
          </w:p>
        </w:tc>
      </w:tr>
      <w:tr w:rsidR="00FE7F08" w14:paraId="0684BE35" w14:textId="77777777" w:rsidTr="00FE7F08">
        <w:tc>
          <w:tcPr>
            <w:tcW w:w="5098" w:type="dxa"/>
            <w:gridSpan w:val="3"/>
            <w:shd w:val="clear" w:color="auto" w:fill="E2EFD9" w:themeFill="accent6" w:themeFillTint="33"/>
          </w:tcPr>
          <w:p w14:paraId="6EBFDC4D" w14:textId="7B0037DF" w:rsidR="00FE7F08" w:rsidRPr="00FE7F08" w:rsidRDefault="00FE7F08" w:rsidP="00FE7F08">
            <w:pPr>
              <w:spacing w:before="120"/>
              <w:rPr>
                <w:rFonts w:ascii="Times New Roman" w:hAnsi="Times New Roman" w:cs="Times New Roman"/>
                <w:b/>
                <w:i/>
                <w:color w:val="000000" w:themeColor="text1"/>
                <w:sz w:val="24"/>
                <w:szCs w:val="24"/>
              </w:rPr>
            </w:pPr>
            <w:r w:rsidRPr="00FE7F08">
              <w:rPr>
                <w:rFonts w:ascii="Times New Roman" w:hAnsi="Times New Roman" w:cs="Times New Roman"/>
                <w:b/>
                <w:i/>
                <w:color w:val="000000" w:themeColor="text1"/>
                <w:sz w:val="24"/>
                <w:szCs w:val="24"/>
              </w:rPr>
              <w:t xml:space="preserve">Data </w:t>
            </w:r>
            <w:r w:rsidRPr="004E77DF">
              <w:rPr>
                <w:rFonts w:ascii="Times New Roman" w:hAnsi="Times New Roman" w:cs="Times New Roman"/>
                <w:b/>
                <w:i/>
                <w:sz w:val="24"/>
                <w:szCs w:val="24"/>
              </w:rPr>
              <w:t>exporter</w:t>
            </w:r>
            <w:r w:rsidR="00356145" w:rsidRPr="004E77DF">
              <w:rPr>
                <w:rFonts w:ascii="Times New Roman" w:hAnsi="Times New Roman" w:cs="Times New Roman"/>
                <w:b/>
                <w:i/>
                <w:sz w:val="24"/>
                <w:szCs w:val="24"/>
              </w:rPr>
              <w:t>*</w:t>
            </w:r>
            <w:r w:rsidR="004E77DF" w:rsidRPr="004E77DF">
              <w:rPr>
                <w:rFonts w:ascii="Times New Roman" w:hAnsi="Times New Roman" w:cs="Times New Roman"/>
                <w:b/>
                <w:i/>
                <w:sz w:val="24"/>
                <w:szCs w:val="24"/>
              </w:rPr>
              <w:t xml:space="preserve"> (</w:t>
            </w:r>
            <w:r w:rsidR="00356145" w:rsidRPr="004E77DF">
              <w:rPr>
                <w:rFonts w:ascii="Times New Roman" w:hAnsi="Times New Roman" w:cs="Times New Roman"/>
                <w:b/>
                <w:i/>
                <w:sz w:val="24"/>
                <w:szCs w:val="24"/>
              </w:rPr>
              <w:t>HSE Business Lead/ Owner responsible for dataset or system</w:t>
            </w:r>
            <w:r w:rsidR="004E77DF" w:rsidRPr="004E77DF">
              <w:rPr>
                <w:rFonts w:ascii="Times New Roman" w:hAnsi="Times New Roman" w:cs="Times New Roman"/>
                <w:b/>
                <w:i/>
                <w:sz w:val="24"/>
                <w:szCs w:val="24"/>
              </w:rPr>
              <w:t>)</w:t>
            </w:r>
          </w:p>
        </w:tc>
        <w:tc>
          <w:tcPr>
            <w:tcW w:w="5664" w:type="dxa"/>
            <w:gridSpan w:val="3"/>
            <w:shd w:val="clear" w:color="auto" w:fill="E2EFD9" w:themeFill="accent6" w:themeFillTint="33"/>
          </w:tcPr>
          <w:p w14:paraId="517376C6" w14:textId="77777777" w:rsidR="00FE7F08" w:rsidRPr="00FE7F08" w:rsidRDefault="00FE7F08" w:rsidP="00FE7F08">
            <w:pPr>
              <w:spacing w:before="120"/>
              <w:rPr>
                <w:rFonts w:ascii="Times New Roman" w:hAnsi="Times New Roman" w:cs="Times New Roman"/>
                <w:b/>
                <w:i/>
                <w:color w:val="000000" w:themeColor="text1"/>
                <w:sz w:val="24"/>
                <w:szCs w:val="24"/>
              </w:rPr>
            </w:pPr>
            <w:r w:rsidRPr="00FE7F08">
              <w:rPr>
                <w:rFonts w:ascii="Times New Roman" w:hAnsi="Times New Roman" w:cs="Times New Roman"/>
                <w:b/>
                <w:i/>
                <w:color w:val="000000" w:themeColor="text1"/>
                <w:sz w:val="24"/>
                <w:szCs w:val="24"/>
              </w:rPr>
              <w:t>Data importer</w:t>
            </w:r>
          </w:p>
          <w:p w14:paraId="55A06D0F" w14:textId="77777777" w:rsidR="00FE7F08" w:rsidRPr="00FE7F08" w:rsidRDefault="00FE7F08" w:rsidP="00FE7F08">
            <w:pPr>
              <w:spacing w:before="120"/>
              <w:rPr>
                <w:rFonts w:ascii="Times New Roman" w:hAnsi="Times New Roman" w:cs="Times New Roman"/>
                <w:b/>
                <w:i/>
                <w:color w:val="000000" w:themeColor="text1"/>
                <w:sz w:val="24"/>
                <w:szCs w:val="24"/>
              </w:rPr>
            </w:pPr>
          </w:p>
        </w:tc>
      </w:tr>
      <w:tr w:rsidR="00FE7F08" w14:paraId="52E34E5E" w14:textId="77777777" w:rsidTr="00184D69">
        <w:tc>
          <w:tcPr>
            <w:tcW w:w="5098" w:type="dxa"/>
            <w:gridSpan w:val="3"/>
          </w:tcPr>
          <w:p w14:paraId="2D819DFE"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Approved by:</w:t>
            </w:r>
            <w:r w:rsidRPr="00FE7F08">
              <w:rPr>
                <w:rFonts w:ascii="Times New Roman" w:hAnsi="Times New Roman" w:cs="Times New Roman"/>
                <w:b/>
                <w:sz w:val="24"/>
                <w:szCs w:val="24"/>
              </w:rPr>
              <w:tab/>
            </w:r>
          </w:p>
          <w:p w14:paraId="6096EF97"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1972574A"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p w14:paraId="528B66C8"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__________________________</w:t>
            </w:r>
          </w:p>
          <w:p w14:paraId="48F2E9A3"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i/>
                <w:sz w:val="24"/>
                <w:szCs w:val="24"/>
              </w:rPr>
              <w:t>[Print name and role]</w:t>
            </w:r>
          </w:p>
        </w:tc>
        <w:tc>
          <w:tcPr>
            <w:tcW w:w="5664" w:type="dxa"/>
            <w:gridSpan w:val="3"/>
          </w:tcPr>
          <w:p w14:paraId="29F9EA08"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Approved by:</w:t>
            </w:r>
            <w:r w:rsidRPr="00FE7F08">
              <w:rPr>
                <w:rFonts w:ascii="Times New Roman" w:hAnsi="Times New Roman" w:cs="Times New Roman"/>
                <w:b/>
                <w:sz w:val="24"/>
                <w:szCs w:val="24"/>
              </w:rPr>
              <w:tab/>
            </w:r>
          </w:p>
          <w:p w14:paraId="73940A3F"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115A0ED2"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p w14:paraId="46F7528C"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__________________________</w:t>
            </w:r>
          </w:p>
          <w:p w14:paraId="1926B0E9" w14:textId="77777777" w:rsidR="00FE7F08" w:rsidRDefault="00FE7F08" w:rsidP="00FE7F08">
            <w:pPr>
              <w:pStyle w:val="Level1"/>
              <w:numPr>
                <w:ilvl w:val="0"/>
                <w:numId w:val="0"/>
              </w:numPr>
              <w:spacing w:after="120" w:line="240" w:lineRule="auto"/>
              <w:rPr>
                <w:rFonts w:ascii="Times New Roman" w:hAnsi="Times New Roman" w:cs="Times New Roman"/>
                <w:i/>
                <w:sz w:val="24"/>
                <w:szCs w:val="24"/>
              </w:rPr>
            </w:pPr>
            <w:r w:rsidRPr="00FE7F08">
              <w:rPr>
                <w:rFonts w:ascii="Times New Roman" w:hAnsi="Times New Roman" w:cs="Times New Roman"/>
                <w:i/>
                <w:sz w:val="24"/>
                <w:szCs w:val="24"/>
              </w:rPr>
              <w:t>[Print name and role]</w:t>
            </w:r>
          </w:p>
          <w:p w14:paraId="7C5D8B45" w14:textId="77777777" w:rsidR="00FE7F08" w:rsidRDefault="00FE7F08" w:rsidP="00FE7F08">
            <w:pPr>
              <w:pStyle w:val="Level1"/>
              <w:numPr>
                <w:ilvl w:val="0"/>
                <w:numId w:val="0"/>
              </w:numPr>
              <w:spacing w:after="120" w:line="240" w:lineRule="auto"/>
              <w:rPr>
                <w:rFonts w:ascii="Times New Roman" w:hAnsi="Times New Roman" w:cs="Times New Roman"/>
                <w:i/>
                <w:sz w:val="24"/>
                <w:szCs w:val="24"/>
              </w:rPr>
            </w:pPr>
          </w:p>
          <w:p w14:paraId="2BB4D1D9" w14:textId="77777777" w:rsidR="00FE7F08" w:rsidRPr="00FE7F08" w:rsidRDefault="00FE7F08" w:rsidP="00FE7F08">
            <w:pPr>
              <w:pStyle w:val="Level1"/>
              <w:numPr>
                <w:ilvl w:val="0"/>
                <w:numId w:val="0"/>
              </w:numPr>
              <w:spacing w:after="120" w:line="240" w:lineRule="auto"/>
              <w:rPr>
                <w:rFonts w:ascii="Times New Roman" w:hAnsi="Times New Roman" w:cs="Times New Roman"/>
                <w:i/>
                <w:sz w:val="24"/>
                <w:szCs w:val="24"/>
              </w:rPr>
            </w:pPr>
          </w:p>
        </w:tc>
      </w:tr>
      <w:tr w:rsidR="00FE7F08" w14:paraId="241481CF" w14:textId="77777777" w:rsidTr="00184D69">
        <w:tc>
          <w:tcPr>
            <w:tcW w:w="5098" w:type="dxa"/>
            <w:gridSpan w:val="3"/>
          </w:tcPr>
          <w:p w14:paraId="7542527F"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Date of approval:</w:t>
            </w:r>
          </w:p>
          <w:p w14:paraId="0C63D6FD" w14:textId="77777777" w:rsidR="00FE7F08" w:rsidRDefault="00FE7F08" w:rsidP="00FE7F08">
            <w:pPr>
              <w:pStyle w:val="Level1"/>
              <w:numPr>
                <w:ilvl w:val="0"/>
                <w:numId w:val="0"/>
              </w:numPr>
              <w:spacing w:after="0" w:line="240" w:lineRule="auto"/>
              <w:rPr>
                <w:rFonts w:ascii="Times New Roman" w:hAnsi="Times New Roman" w:cs="Times New Roman"/>
                <w:b/>
                <w:sz w:val="24"/>
                <w:szCs w:val="24"/>
              </w:rPr>
            </w:pPr>
          </w:p>
          <w:p w14:paraId="6D3B5D55"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p>
        </w:tc>
        <w:tc>
          <w:tcPr>
            <w:tcW w:w="5664" w:type="dxa"/>
            <w:gridSpan w:val="3"/>
          </w:tcPr>
          <w:p w14:paraId="19787347" w14:textId="77777777" w:rsidR="00FE7F08" w:rsidRPr="00FE7F08" w:rsidRDefault="00FE7F08" w:rsidP="00FE7F08">
            <w:pPr>
              <w:pStyle w:val="Level1"/>
              <w:numPr>
                <w:ilvl w:val="0"/>
                <w:numId w:val="0"/>
              </w:numPr>
              <w:spacing w:after="0" w:line="240" w:lineRule="auto"/>
              <w:rPr>
                <w:rFonts w:ascii="Times New Roman" w:hAnsi="Times New Roman" w:cs="Times New Roman"/>
                <w:b/>
                <w:sz w:val="24"/>
                <w:szCs w:val="24"/>
              </w:rPr>
            </w:pPr>
            <w:r w:rsidRPr="00FE7F08">
              <w:rPr>
                <w:rFonts w:ascii="Times New Roman" w:hAnsi="Times New Roman" w:cs="Times New Roman"/>
                <w:b/>
                <w:sz w:val="24"/>
                <w:szCs w:val="24"/>
              </w:rPr>
              <w:t>Date of approval:</w:t>
            </w:r>
          </w:p>
          <w:p w14:paraId="3CEB25C3" w14:textId="77777777" w:rsidR="00FE7F08" w:rsidRPr="00FE7F08" w:rsidRDefault="00FE7F08" w:rsidP="00FE7F08">
            <w:pPr>
              <w:pStyle w:val="Level1"/>
              <w:numPr>
                <w:ilvl w:val="0"/>
                <w:numId w:val="0"/>
              </w:numPr>
              <w:spacing w:after="0" w:line="240" w:lineRule="auto"/>
              <w:rPr>
                <w:rFonts w:ascii="Times New Roman" w:hAnsi="Times New Roman" w:cs="Times New Roman"/>
                <w:i/>
                <w:sz w:val="24"/>
                <w:szCs w:val="24"/>
              </w:rPr>
            </w:pPr>
          </w:p>
        </w:tc>
      </w:tr>
    </w:tbl>
    <w:p w14:paraId="41C49F1E" w14:textId="77777777" w:rsidR="00820840" w:rsidRPr="00820840" w:rsidRDefault="00820840" w:rsidP="00820840">
      <w:pPr>
        <w:tabs>
          <w:tab w:val="left" w:pos="4215"/>
        </w:tabs>
        <w:rPr>
          <w:rFonts w:ascii="Times New Roman" w:hAnsi="Times New Roman" w:cs="Times New Roman"/>
          <w:sz w:val="24"/>
          <w:szCs w:val="24"/>
        </w:rPr>
      </w:pPr>
    </w:p>
    <w:sectPr w:rsidR="00820840" w:rsidRPr="00820840" w:rsidSect="006231C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EDC9" w14:textId="77777777" w:rsidR="00BA083B" w:rsidRDefault="00BA083B" w:rsidP="003B3D70">
      <w:pPr>
        <w:spacing w:after="0" w:line="240" w:lineRule="auto"/>
      </w:pPr>
      <w:r>
        <w:separator/>
      </w:r>
    </w:p>
  </w:endnote>
  <w:endnote w:type="continuationSeparator" w:id="0">
    <w:p w14:paraId="08BA2D9A" w14:textId="77777777" w:rsidR="00BA083B" w:rsidRDefault="00BA083B" w:rsidP="003B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A9D0" w14:textId="77777777" w:rsidR="00BA083B" w:rsidRDefault="00BA083B" w:rsidP="003B3D70">
      <w:pPr>
        <w:spacing w:after="0" w:line="240" w:lineRule="auto"/>
      </w:pPr>
      <w:r>
        <w:separator/>
      </w:r>
    </w:p>
  </w:footnote>
  <w:footnote w:type="continuationSeparator" w:id="0">
    <w:p w14:paraId="26056C21" w14:textId="77777777" w:rsidR="00BA083B" w:rsidRDefault="00BA083B" w:rsidP="003B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E7D"/>
    <w:multiLevelType w:val="hybridMultilevel"/>
    <w:tmpl w:val="E1DEBCD4"/>
    <w:lvl w:ilvl="0" w:tplc="6C80D2FE">
      <w:start w:val="1"/>
      <w:numFmt w:val="bullet"/>
      <w:lvlText w:val=""/>
      <w:lvlJc w:val="left"/>
      <w:pPr>
        <w:ind w:left="417" w:hanging="360"/>
      </w:pPr>
      <w:rPr>
        <w:rFonts w:ascii="Symbol" w:eastAsiaTheme="minorHAnsi" w:hAnsi="Symbol" w:cstheme="minorHAnsi" w:hint="default"/>
      </w:rPr>
    </w:lvl>
    <w:lvl w:ilvl="1" w:tplc="18090003" w:tentative="1">
      <w:start w:val="1"/>
      <w:numFmt w:val="bullet"/>
      <w:lvlText w:val="o"/>
      <w:lvlJc w:val="left"/>
      <w:pPr>
        <w:ind w:left="1137" w:hanging="360"/>
      </w:pPr>
      <w:rPr>
        <w:rFonts w:ascii="Courier New" w:hAnsi="Courier New" w:cs="Courier New" w:hint="default"/>
      </w:rPr>
    </w:lvl>
    <w:lvl w:ilvl="2" w:tplc="18090005" w:tentative="1">
      <w:start w:val="1"/>
      <w:numFmt w:val="bullet"/>
      <w:lvlText w:val=""/>
      <w:lvlJc w:val="left"/>
      <w:pPr>
        <w:ind w:left="1857" w:hanging="360"/>
      </w:pPr>
      <w:rPr>
        <w:rFonts w:ascii="Wingdings" w:hAnsi="Wingdings" w:hint="default"/>
      </w:rPr>
    </w:lvl>
    <w:lvl w:ilvl="3" w:tplc="18090001" w:tentative="1">
      <w:start w:val="1"/>
      <w:numFmt w:val="bullet"/>
      <w:lvlText w:val=""/>
      <w:lvlJc w:val="left"/>
      <w:pPr>
        <w:ind w:left="2577" w:hanging="360"/>
      </w:pPr>
      <w:rPr>
        <w:rFonts w:ascii="Symbol" w:hAnsi="Symbol" w:hint="default"/>
      </w:rPr>
    </w:lvl>
    <w:lvl w:ilvl="4" w:tplc="18090003" w:tentative="1">
      <w:start w:val="1"/>
      <w:numFmt w:val="bullet"/>
      <w:lvlText w:val="o"/>
      <w:lvlJc w:val="left"/>
      <w:pPr>
        <w:ind w:left="3297" w:hanging="360"/>
      </w:pPr>
      <w:rPr>
        <w:rFonts w:ascii="Courier New" w:hAnsi="Courier New" w:cs="Courier New" w:hint="default"/>
      </w:rPr>
    </w:lvl>
    <w:lvl w:ilvl="5" w:tplc="18090005" w:tentative="1">
      <w:start w:val="1"/>
      <w:numFmt w:val="bullet"/>
      <w:lvlText w:val=""/>
      <w:lvlJc w:val="left"/>
      <w:pPr>
        <w:ind w:left="4017" w:hanging="360"/>
      </w:pPr>
      <w:rPr>
        <w:rFonts w:ascii="Wingdings" w:hAnsi="Wingdings" w:hint="default"/>
      </w:rPr>
    </w:lvl>
    <w:lvl w:ilvl="6" w:tplc="18090001" w:tentative="1">
      <w:start w:val="1"/>
      <w:numFmt w:val="bullet"/>
      <w:lvlText w:val=""/>
      <w:lvlJc w:val="left"/>
      <w:pPr>
        <w:ind w:left="4737" w:hanging="360"/>
      </w:pPr>
      <w:rPr>
        <w:rFonts w:ascii="Symbol" w:hAnsi="Symbol" w:hint="default"/>
      </w:rPr>
    </w:lvl>
    <w:lvl w:ilvl="7" w:tplc="18090003" w:tentative="1">
      <w:start w:val="1"/>
      <w:numFmt w:val="bullet"/>
      <w:lvlText w:val="o"/>
      <w:lvlJc w:val="left"/>
      <w:pPr>
        <w:ind w:left="5457" w:hanging="360"/>
      </w:pPr>
      <w:rPr>
        <w:rFonts w:ascii="Courier New" w:hAnsi="Courier New" w:cs="Courier New" w:hint="default"/>
      </w:rPr>
    </w:lvl>
    <w:lvl w:ilvl="8" w:tplc="18090005" w:tentative="1">
      <w:start w:val="1"/>
      <w:numFmt w:val="bullet"/>
      <w:lvlText w:val=""/>
      <w:lvlJc w:val="left"/>
      <w:pPr>
        <w:ind w:left="6177" w:hanging="360"/>
      </w:pPr>
      <w:rPr>
        <w:rFonts w:ascii="Wingdings" w:hAnsi="Wingdings" w:hint="default"/>
      </w:rPr>
    </w:lvl>
  </w:abstractNum>
  <w:abstractNum w:abstractNumId="1" w15:restartNumberingAfterBreak="0">
    <w:nsid w:val="112C6FA6"/>
    <w:multiLevelType w:val="hybridMultilevel"/>
    <w:tmpl w:val="A1F4827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D248B"/>
    <w:multiLevelType w:val="hybridMultilevel"/>
    <w:tmpl w:val="A678E0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CC3FD5"/>
    <w:multiLevelType w:val="hybridMultilevel"/>
    <w:tmpl w:val="3E0499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887900"/>
    <w:multiLevelType w:val="hybridMultilevel"/>
    <w:tmpl w:val="B7CA33D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2C1137"/>
    <w:multiLevelType w:val="hybridMultilevel"/>
    <w:tmpl w:val="FCFC0B06"/>
    <w:lvl w:ilvl="0" w:tplc="78FE0868">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C132DA"/>
    <w:multiLevelType w:val="hybridMultilevel"/>
    <w:tmpl w:val="C7769BC6"/>
    <w:lvl w:ilvl="0" w:tplc="861A335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0453D4"/>
    <w:multiLevelType w:val="hybridMultilevel"/>
    <w:tmpl w:val="66C06536"/>
    <w:lvl w:ilvl="0" w:tplc="0862E44A">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5615CB"/>
    <w:multiLevelType w:val="hybridMultilevel"/>
    <w:tmpl w:val="9E90865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2B31CCF"/>
    <w:multiLevelType w:val="multilevel"/>
    <w:tmpl w:val="9C5CE4D6"/>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8E118D2"/>
    <w:multiLevelType w:val="multilevel"/>
    <w:tmpl w:val="9C5CE4D6"/>
    <w:numStyleLink w:val="MainNumbering"/>
  </w:abstractNum>
  <w:abstractNum w:abstractNumId="11" w15:restartNumberingAfterBreak="0">
    <w:nsid w:val="63701A00"/>
    <w:multiLevelType w:val="hybridMultilevel"/>
    <w:tmpl w:val="7AF0D836"/>
    <w:lvl w:ilvl="0" w:tplc="68E0B5D6">
      <w:start w:val="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7A5BF8"/>
    <w:multiLevelType w:val="hybridMultilevel"/>
    <w:tmpl w:val="25CE9A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34B5F96"/>
    <w:multiLevelType w:val="hybridMultilevel"/>
    <w:tmpl w:val="732CE730"/>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95F0C39"/>
    <w:multiLevelType w:val="hybridMultilevel"/>
    <w:tmpl w:val="355C7F7E"/>
    <w:lvl w:ilvl="0" w:tplc="18090009">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9"/>
  </w:num>
  <w:num w:numId="2">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3">
    <w:abstractNumId w:val="3"/>
  </w:num>
  <w:num w:numId="4">
    <w:abstractNumId w:val="12"/>
  </w:num>
  <w:num w:numId="5">
    <w:abstractNumId w:val="1"/>
  </w:num>
  <w:num w:numId="6">
    <w:abstractNumId w:val="4"/>
  </w:num>
  <w:num w:numId="7">
    <w:abstractNumId w:val="10"/>
    <w:lvlOverride w:ilvl="0">
      <w:startOverride w:val="1"/>
      <w:lvl w:ilvl="0">
        <w:start w:val="1"/>
        <w:numFmt w:val="decimal"/>
        <w:pStyle w:val="Level1"/>
        <w:lvlText w:val="%1."/>
        <w:lvlJc w:val="left"/>
        <w:pPr>
          <w:ind w:left="850" w:hanging="850"/>
        </w:pPr>
        <w:rPr>
          <w:color w:val="auto"/>
        </w:rPr>
      </w:lvl>
    </w:lvlOverride>
    <w:lvlOverride w:ilvl="1">
      <w:startOverride w:val="1"/>
      <w:lvl w:ilvl="1">
        <w:start w:val="1"/>
        <w:numFmt w:val="decimal"/>
        <w:pStyle w:val="Level2"/>
        <w:lvlText w:val="%1.%2"/>
        <w:lvlJc w:val="left"/>
        <w:pPr>
          <w:ind w:left="850" w:hanging="850"/>
        </w:pPr>
        <w:rPr>
          <w:color w:val="auto"/>
        </w:rPr>
      </w:lvl>
    </w:lvlOverride>
    <w:lvlOverride w:ilvl="2">
      <w:startOverride w:val="1"/>
      <w:lvl w:ilvl="2">
        <w:start w:val="1"/>
        <w:numFmt w:val="decimal"/>
        <w:pStyle w:val="Level3"/>
        <w:lvlText w:val="%1.%2.%3"/>
        <w:lvlJc w:val="left"/>
        <w:pPr>
          <w:ind w:left="850" w:hanging="850"/>
        </w:pPr>
        <w:rPr>
          <w:color w:val="auto"/>
        </w:rPr>
      </w:lvl>
    </w:lvlOverride>
    <w:lvlOverride w:ilvl="3">
      <w:startOverride w:val="1"/>
      <w:lvl w:ilvl="3">
        <w:start w:val="1"/>
        <w:numFmt w:val="lowerLetter"/>
        <w:pStyle w:val="Level4"/>
        <w:lvlText w:val="(%4)"/>
        <w:lvlJc w:val="left"/>
        <w:pPr>
          <w:ind w:left="1417" w:hanging="567"/>
        </w:pPr>
        <w:rPr>
          <w:color w:val="auto"/>
        </w:rPr>
      </w:lvl>
    </w:lvlOverride>
    <w:lvlOverride w:ilvl="4">
      <w:startOverride w:val="1"/>
      <w:lvl w:ilvl="4">
        <w:start w:val="1"/>
        <w:numFmt w:val="lowerRoman"/>
        <w:pStyle w:val="Level5"/>
        <w:lvlText w:val="(%5)"/>
        <w:lvlJc w:val="left"/>
        <w:pPr>
          <w:ind w:left="1843" w:hanging="426"/>
        </w:pPr>
        <w:rPr>
          <w:color w:val="auto"/>
        </w:rPr>
      </w:lvl>
    </w:lvlOverride>
    <w:lvlOverride w:ilvl="5">
      <w:startOverride w:val="1"/>
      <w:lvl w:ilvl="5">
        <w:start w:val="1"/>
        <w:numFmt w:val="none"/>
        <w:suff w:val="nothing"/>
        <w:lvlText w:val=""/>
        <w:lvlJc w:val="left"/>
        <w:pPr>
          <w:ind w:left="0" w:firstLine="0"/>
        </w:pPr>
      </w:lvl>
    </w:lvlOverride>
    <w:lvlOverride w:ilvl="6">
      <w:startOverride w:val="1"/>
      <w:lvl w:ilvl="6">
        <w:start w:val="1"/>
        <w:numFmt w:val="none"/>
        <w:suff w:val="nothing"/>
        <w:lvlText w:val=""/>
        <w:lvlJc w:val="left"/>
        <w:pPr>
          <w:ind w:left="0" w:firstLine="0"/>
        </w:pPr>
      </w:lvl>
    </w:lvlOverride>
    <w:lvlOverride w:ilvl="7">
      <w:startOverride w:val="1"/>
      <w:lvl w:ilvl="7">
        <w:start w:val="1"/>
        <w:numFmt w:val="none"/>
        <w:suff w:val="nothing"/>
        <w:lvlText w:val=""/>
        <w:lvlJc w:val="left"/>
        <w:pPr>
          <w:ind w:left="0" w:firstLine="0"/>
        </w:pPr>
      </w:lvl>
    </w:lvlOverride>
    <w:lvlOverride w:ilvl="8">
      <w:startOverride w:val="1"/>
      <w:lvl w:ilvl="8">
        <w:start w:val="1"/>
        <w:numFmt w:val="none"/>
        <w:suff w:val="nothing"/>
        <w:lvlText w:val=""/>
        <w:lvlJc w:val="left"/>
        <w:pPr>
          <w:ind w:left="0" w:firstLine="0"/>
        </w:pPr>
      </w:lvl>
    </w:lvlOverride>
  </w:num>
  <w:num w:numId="8">
    <w:abstractNumId w:val="10"/>
    <w:lvlOverride w:ilvl="0">
      <w:startOverride w:val="1"/>
      <w:lvl w:ilvl="0">
        <w:start w:val="1"/>
        <w:numFmt w:val="decimal"/>
        <w:pStyle w:val="Level1"/>
        <w:lvlText w:val="%1."/>
        <w:lvlJc w:val="left"/>
        <w:pPr>
          <w:ind w:left="1275" w:hanging="850"/>
        </w:pPr>
        <w:rPr>
          <w:color w:val="auto"/>
        </w:rPr>
      </w:lvl>
    </w:lvlOverride>
    <w:lvlOverride w:ilvl="1">
      <w:startOverride w:val="1"/>
      <w:lvl w:ilvl="1">
        <w:start w:val="1"/>
        <w:numFmt w:val="decimal"/>
        <w:pStyle w:val="Level2"/>
        <w:lvlText w:val="%1.%2"/>
        <w:lvlJc w:val="left"/>
        <w:pPr>
          <w:ind w:left="1275" w:hanging="850"/>
        </w:pPr>
        <w:rPr>
          <w:color w:val="auto"/>
        </w:rPr>
      </w:lvl>
    </w:lvlOverride>
    <w:lvlOverride w:ilvl="2">
      <w:startOverride w:val="1"/>
      <w:lvl w:ilvl="2">
        <w:start w:val="1"/>
        <w:numFmt w:val="decimal"/>
        <w:pStyle w:val="Level3"/>
        <w:lvlText w:val="%1.%2.%3"/>
        <w:lvlJc w:val="left"/>
        <w:pPr>
          <w:ind w:left="1275" w:hanging="850"/>
        </w:pPr>
        <w:rPr>
          <w:color w:val="auto"/>
        </w:rPr>
      </w:lvl>
    </w:lvlOverride>
    <w:lvlOverride w:ilvl="3">
      <w:startOverride w:val="1"/>
      <w:lvl w:ilvl="3">
        <w:start w:val="1"/>
        <w:numFmt w:val="lowerLetter"/>
        <w:pStyle w:val="Level4"/>
        <w:lvlText w:val="(%4)"/>
        <w:lvlJc w:val="left"/>
        <w:pPr>
          <w:ind w:left="1842" w:hanging="567"/>
        </w:pPr>
        <w:rPr>
          <w:color w:val="auto"/>
        </w:rPr>
      </w:lvl>
    </w:lvlOverride>
    <w:lvlOverride w:ilvl="4">
      <w:startOverride w:val="1"/>
      <w:lvl w:ilvl="4">
        <w:start w:val="1"/>
        <w:numFmt w:val="lowerRoman"/>
        <w:pStyle w:val="Level5"/>
        <w:lvlText w:val="(%5)"/>
        <w:lvlJc w:val="left"/>
        <w:pPr>
          <w:ind w:left="2268" w:hanging="426"/>
        </w:pPr>
        <w:rPr>
          <w:color w:val="auto"/>
        </w:rPr>
      </w:lvl>
    </w:lvlOverride>
    <w:lvlOverride w:ilvl="5">
      <w:startOverride w:val="1"/>
      <w:lvl w:ilvl="5">
        <w:start w:val="1"/>
        <w:numFmt w:val="none"/>
        <w:suff w:val="nothing"/>
        <w:lvlText w:val=""/>
        <w:lvlJc w:val="left"/>
        <w:pPr>
          <w:ind w:left="425" w:firstLine="0"/>
        </w:pPr>
      </w:lvl>
    </w:lvlOverride>
    <w:lvlOverride w:ilvl="6">
      <w:startOverride w:val="1"/>
      <w:lvl w:ilvl="6">
        <w:start w:val="1"/>
        <w:numFmt w:val="none"/>
        <w:suff w:val="nothing"/>
        <w:lvlText w:val=""/>
        <w:lvlJc w:val="left"/>
        <w:pPr>
          <w:ind w:left="425" w:firstLine="0"/>
        </w:pPr>
      </w:lvl>
    </w:lvlOverride>
    <w:lvlOverride w:ilvl="7">
      <w:startOverride w:val="1"/>
      <w:lvl w:ilvl="7">
        <w:start w:val="1"/>
        <w:numFmt w:val="none"/>
        <w:suff w:val="nothing"/>
        <w:lvlText w:val=""/>
        <w:lvlJc w:val="left"/>
        <w:pPr>
          <w:ind w:left="425" w:firstLine="0"/>
        </w:pPr>
      </w:lvl>
    </w:lvlOverride>
    <w:lvlOverride w:ilvl="8">
      <w:startOverride w:val="1"/>
      <w:lvl w:ilvl="8">
        <w:start w:val="1"/>
        <w:numFmt w:val="none"/>
        <w:suff w:val="nothing"/>
        <w:lvlText w:val=""/>
        <w:lvlJc w:val="left"/>
        <w:pPr>
          <w:ind w:left="425" w:firstLine="0"/>
        </w:pPr>
      </w:lvl>
    </w:lvlOverride>
  </w:num>
  <w:num w:numId="9">
    <w:abstractNumId w:val="2"/>
  </w:num>
  <w:num w:numId="10">
    <w:abstractNumId w:val="0"/>
  </w:num>
  <w:num w:numId="11">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rFonts w:ascii="Times New Roman" w:hAnsi="Times New Roman"/>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2">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4"/>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3">
    <w:abstractNumId w:val="9"/>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850" w:hanging="850"/>
        </w:pPr>
        <w:rPr>
          <w:color w:val="auto"/>
        </w:rPr>
      </w:lvl>
    </w:lvlOverride>
    <w:lvlOverride w:ilvl="3">
      <w:lvl w:ilvl="3">
        <w:start w:val="1"/>
        <w:numFmt w:val="lowerLetter"/>
        <w:pStyle w:val="Level4"/>
        <w:lvlText w:val="(%4)"/>
        <w:lvlJc w:val="left"/>
        <w:pPr>
          <w:ind w:left="1417" w:hanging="567"/>
        </w:pPr>
        <w:rPr>
          <w:color w:val="auto"/>
        </w:rPr>
      </w:lvl>
    </w:lvlOverride>
    <w:lvlOverride w:ilvl="4">
      <w:lvl w:ilvl="4">
        <w:start w:val="1"/>
        <w:numFmt w:val="lowerRoman"/>
        <w:pStyle w:val="Level5"/>
        <w:lvlText w:val="(%5)"/>
        <w:lvlJc w:val="left"/>
        <w:pPr>
          <w:ind w:left="1843" w:hanging="426"/>
        </w:pPr>
        <w:rPr>
          <w:color w:val="auto"/>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4">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1559" w:hanging="850"/>
        </w:pPr>
        <w:rPr>
          <w:color w:val="auto"/>
          <w:sz w:val="24"/>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10"/>
    <w:lvlOverride w:ilvl="0">
      <w:lvl w:ilvl="0">
        <w:start w:val="1"/>
        <w:numFmt w:val="decimal"/>
        <w:pStyle w:val="Level1"/>
        <w:lvlText w:val="%1."/>
        <w:lvlJc w:val="left"/>
        <w:pPr>
          <w:ind w:left="1275"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7">
    <w:abstractNumId w:val="8"/>
  </w:num>
  <w:num w:numId="18">
    <w:abstractNumId w:val="7"/>
  </w:num>
  <w:num w:numId="19">
    <w:abstractNumId w:val="5"/>
  </w:num>
  <w:num w:numId="20">
    <w:abstractNumId w:val="6"/>
  </w:num>
  <w:num w:numId="21">
    <w:abstractNumId w:val="14"/>
  </w:num>
  <w:num w:numId="22">
    <w:abstractNumId w:val="11"/>
  </w:num>
  <w:num w:numId="23">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4"/>
          <w:szCs w:val="24"/>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24">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24"/>
          <w:szCs w:val="24"/>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25">
    <w:abstractNumId w:val="10"/>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b w:val="0"/>
          <w:color w:val="auto"/>
          <w:sz w:val="20"/>
          <w:szCs w:val="20"/>
        </w:rPr>
      </w:lvl>
    </w:lvlOverride>
    <w:lvlOverride w:ilvl="2">
      <w:lvl w:ilvl="2">
        <w:start w:val="1"/>
        <w:numFmt w:val="decimal"/>
        <w:pStyle w:val="Level3"/>
        <w:lvlText w:val="%1.%2.%3"/>
        <w:lvlJc w:val="left"/>
        <w:pPr>
          <w:ind w:left="850" w:hanging="850"/>
        </w:pPr>
        <w:rPr>
          <w:color w:val="auto"/>
          <w:sz w:val="17"/>
          <w:szCs w:val="17"/>
        </w:rPr>
      </w:lvl>
    </w:lvlOverride>
    <w:lvlOverride w:ilvl="3">
      <w:lvl w:ilvl="3">
        <w:start w:val="1"/>
        <w:numFmt w:val="lowerLetter"/>
        <w:pStyle w:val="Level4"/>
        <w:lvlText w:val="(%4)"/>
        <w:lvlJc w:val="left"/>
        <w:pPr>
          <w:ind w:left="992" w:hanging="567"/>
        </w:pPr>
        <w:rPr>
          <w:color w:val="auto"/>
        </w:rPr>
      </w:lvl>
    </w:lvlOverride>
    <w:lvlOverride w:ilvl="4">
      <w:lvl w:ilvl="4">
        <w:start w:val="1"/>
        <w:numFmt w:val="lowerRoman"/>
        <w:pStyle w:val="Level5"/>
        <w:lvlText w:val="(%5)"/>
        <w:lvlJc w:val="left"/>
        <w:pPr>
          <w:ind w:left="1843" w:hanging="426"/>
        </w:pPr>
        <w:rPr>
          <w:color w:val="auto"/>
          <w:sz w:val="20"/>
          <w:szCs w:val="20"/>
        </w:r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C2"/>
    <w:rsid w:val="00003942"/>
    <w:rsid w:val="00011D95"/>
    <w:rsid w:val="000E5414"/>
    <w:rsid w:val="000F286E"/>
    <w:rsid w:val="00141D64"/>
    <w:rsid w:val="00162896"/>
    <w:rsid w:val="00184D69"/>
    <w:rsid w:val="00197118"/>
    <w:rsid w:val="001C3946"/>
    <w:rsid w:val="001E35F0"/>
    <w:rsid w:val="00204564"/>
    <w:rsid w:val="00216091"/>
    <w:rsid w:val="00263935"/>
    <w:rsid w:val="002648E9"/>
    <w:rsid w:val="002A3E7C"/>
    <w:rsid w:val="002C438A"/>
    <w:rsid w:val="002E1F44"/>
    <w:rsid w:val="002E33DF"/>
    <w:rsid w:val="00332730"/>
    <w:rsid w:val="00341AEA"/>
    <w:rsid w:val="00356145"/>
    <w:rsid w:val="00366B65"/>
    <w:rsid w:val="00376BD7"/>
    <w:rsid w:val="003A2B9D"/>
    <w:rsid w:val="003B3D70"/>
    <w:rsid w:val="003C1F04"/>
    <w:rsid w:val="003C7917"/>
    <w:rsid w:val="003E7AFA"/>
    <w:rsid w:val="004024BB"/>
    <w:rsid w:val="00403E77"/>
    <w:rsid w:val="00410CFD"/>
    <w:rsid w:val="00417570"/>
    <w:rsid w:val="00427B04"/>
    <w:rsid w:val="00430255"/>
    <w:rsid w:val="0045401D"/>
    <w:rsid w:val="004640E4"/>
    <w:rsid w:val="00477692"/>
    <w:rsid w:val="004A2B02"/>
    <w:rsid w:val="004A31D8"/>
    <w:rsid w:val="004A5759"/>
    <w:rsid w:val="004B3C4F"/>
    <w:rsid w:val="004B6668"/>
    <w:rsid w:val="004C0574"/>
    <w:rsid w:val="004E77DF"/>
    <w:rsid w:val="00521D3E"/>
    <w:rsid w:val="00525053"/>
    <w:rsid w:val="00533B19"/>
    <w:rsid w:val="0057094A"/>
    <w:rsid w:val="005E1BEA"/>
    <w:rsid w:val="00604C91"/>
    <w:rsid w:val="00615A83"/>
    <w:rsid w:val="00617E8E"/>
    <w:rsid w:val="006231C2"/>
    <w:rsid w:val="0065044C"/>
    <w:rsid w:val="00651BFD"/>
    <w:rsid w:val="006601E7"/>
    <w:rsid w:val="006672EC"/>
    <w:rsid w:val="006B19BC"/>
    <w:rsid w:val="006B2DC0"/>
    <w:rsid w:val="0075230E"/>
    <w:rsid w:val="007909E9"/>
    <w:rsid w:val="007D745D"/>
    <w:rsid w:val="007E0FDE"/>
    <w:rsid w:val="008002E7"/>
    <w:rsid w:val="008125B3"/>
    <w:rsid w:val="00820840"/>
    <w:rsid w:val="00824A82"/>
    <w:rsid w:val="008459D6"/>
    <w:rsid w:val="008463E2"/>
    <w:rsid w:val="00870435"/>
    <w:rsid w:val="0087288D"/>
    <w:rsid w:val="0087741D"/>
    <w:rsid w:val="008A0AAD"/>
    <w:rsid w:val="008F3C1E"/>
    <w:rsid w:val="009425AE"/>
    <w:rsid w:val="00981242"/>
    <w:rsid w:val="009C2537"/>
    <w:rsid w:val="00A21215"/>
    <w:rsid w:val="00A258E3"/>
    <w:rsid w:val="00A302E4"/>
    <w:rsid w:val="00A54696"/>
    <w:rsid w:val="00A64A92"/>
    <w:rsid w:val="00A71691"/>
    <w:rsid w:val="00A81A01"/>
    <w:rsid w:val="00A85D4E"/>
    <w:rsid w:val="00A9646C"/>
    <w:rsid w:val="00AA536D"/>
    <w:rsid w:val="00AA5E6A"/>
    <w:rsid w:val="00AE39A3"/>
    <w:rsid w:val="00AF295F"/>
    <w:rsid w:val="00AF297F"/>
    <w:rsid w:val="00B63701"/>
    <w:rsid w:val="00B91DA7"/>
    <w:rsid w:val="00BA083B"/>
    <w:rsid w:val="00C07835"/>
    <w:rsid w:val="00C10D05"/>
    <w:rsid w:val="00C26B1E"/>
    <w:rsid w:val="00C601F9"/>
    <w:rsid w:val="00C85C38"/>
    <w:rsid w:val="00C941C9"/>
    <w:rsid w:val="00CD4F5C"/>
    <w:rsid w:val="00D01DC5"/>
    <w:rsid w:val="00D04CD7"/>
    <w:rsid w:val="00D713EA"/>
    <w:rsid w:val="00D71EDE"/>
    <w:rsid w:val="00E15DD1"/>
    <w:rsid w:val="00E20FCC"/>
    <w:rsid w:val="00E67A23"/>
    <w:rsid w:val="00E951C0"/>
    <w:rsid w:val="00EA64C5"/>
    <w:rsid w:val="00EA7A94"/>
    <w:rsid w:val="00F0558C"/>
    <w:rsid w:val="00F1653D"/>
    <w:rsid w:val="00F24232"/>
    <w:rsid w:val="00FE7F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FCAC3"/>
  <w15:chartTrackingRefBased/>
  <w15:docId w15:val="{FDAE041A-A2B1-475B-AE17-01078F3F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1C2"/>
    <w:pPr>
      <w:ind w:left="720"/>
      <w:contextualSpacing/>
    </w:pPr>
  </w:style>
  <w:style w:type="numbering" w:customStyle="1" w:styleId="MainNumbering">
    <w:name w:val="Main Numbering"/>
    <w:basedOn w:val="NoList"/>
    <w:rsid w:val="003C7917"/>
    <w:pPr>
      <w:numPr>
        <w:numId w:val="1"/>
      </w:numPr>
    </w:pPr>
  </w:style>
  <w:style w:type="paragraph" w:customStyle="1" w:styleId="Level1">
    <w:name w:val="Level 1"/>
    <w:basedOn w:val="Normal"/>
    <w:uiPriority w:val="1"/>
    <w:qFormat/>
    <w:rsid w:val="003C7917"/>
    <w:pPr>
      <w:numPr>
        <w:numId w:val="2"/>
      </w:numPr>
      <w:spacing w:after="210" w:line="270" w:lineRule="atLeast"/>
      <w:jc w:val="both"/>
    </w:pPr>
    <w:rPr>
      <w:sz w:val="21"/>
      <w:lang w:val="en-GB"/>
    </w:rPr>
  </w:style>
  <w:style w:type="paragraph" w:customStyle="1" w:styleId="Level2">
    <w:name w:val="Level 2"/>
    <w:basedOn w:val="Normal"/>
    <w:uiPriority w:val="1"/>
    <w:qFormat/>
    <w:rsid w:val="003C7917"/>
    <w:pPr>
      <w:numPr>
        <w:ilvl w:val="1"/>
        <w:numId w:val="2"/>
      </w:numPr>
      <w:spacing w:after="210" w:line="270" w:lineRule="atLeast"/>
      <w:jc w:val="both"/>
    </w:pPr>
    <w:rPr>
      <w:sz w:val="21"/>
      <w:lang w:val="en-GB"/>
    </w:rPr>
  </w:style>
  <w:style w:type="paragraph" w:customStyle="1" w:styleId="Level3">
    <w:name w:val="Level 3"/>
    <w:basedOn w:val="Normal"/>
    <w:uiPriority w:val="1"/>
    <w:qFormat/>
    <w:rsid w:val="003C7917"/>
    <w:pPr>
      <w:numPr>
        <w:ilvl w:val="2"/>
        <w:numId w:val="2"/>
      </w:numPr>
      <w:spacing w:after="210" w:line="270" w:lineRule="atLeast"/>
      <w:jc w:val="both"/>
    </w:pPr>
    <w:rPr>
      <w:sz w:val="21"/>
      <w:lang w:val="en-GB"/>
    </w:rPr>
  </w:style>
  <w:style w:type="paragraph" w:customStyle="1" w:styleId="Level4">
    <w:name w:val="Level 4"/>
    <w:basedOn w:val="Normal"/>
    <w:uiPriority w:val="1"/>
    <w:qFormat/>
    <w:rsid w:val="003C7917"/>
    <w:pPr>
      <w:numPr>
        <w:ilvl w:val="3"/>
        <w:numId w:val="2"/>
      </w:numPr>
      <w:spacing w:after="210" w:line="270" w:lineRule="atLeast"/>
      <w:ind w:left="1417"/>
      <w:jc w:val="both"/>
    </w:pPr>
    <w:rPr>
      <w:sz w:val="21"/>
      <w:lang w:val="en-GB"/>
    </w:rPr>
  </w:style>
  <w:style w:type="paragraph" w:customStyle="1" w:styleId="Level5">
    <w:name w:val="Level 5"/>
    <w:basedOn w:val="Normal"/>
    <w:uiPriority w:val="1"/>
    <w:qFormat/>
    <w:rsid w:val="003C7917"/>
    <w:pPr>
      <w:numPr>
        <w:ilvl w:val="4"/>
        <w:numId w:val="2"/>
      </w:numPr>
      <w:spacing w:after="210" w:line="270" w:lineRule="atLeast"/>
      <w:jc w:val="both"/>
    </w:pPr>
    <w:rPr>
      <w:sz w:val="21"/>
      <w:lang w:val="en-GB"/>
    </w:rPr>
  </w:style>
  <w:style w:type="paragraph" w:styleId="Header">
    <w:name w:val="header"/>
    <w:basedOn w:val="Normal"/>
    <w:link w:val="HeaderChar"/>
    <w:uiPriority w:val="99"/>
    <w:unhideWhenUsed/>
    <w:rsid w:val="003B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70"/>
  </w:style>
  <w:style w:type="paragraph" w:styleId="Footer">
    <w:name w:val="footer"/>
    <w:basedOn w:val="Normal"/>
    <w:link w:val="FooterChar"/>
    <w:uiPriority w:val="99"/>
    <w:unhideWhenUsed/>
    <w:rsid w:val="003B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70"/>
  </w:style>
  <w:style w:type="character" w:styleId="Hyperlink">
    <w:name w:val="Hyperlink"/>
    <w:basedOn w:val="DefaultParagraphFont"/>
    <w:uiPriority w:val="99"/>
    <w:unhideWhenUsed/>
    <w:rsid w:val="003A2B9D"/>
    <w:rPr>
      <w:color w:val="0563C1" w:themeColor="hyperlink"/>
      <w:u w:val="single"/>
    </w:rPr>
  </w:style>
  <w:style w:type="paragraph" w:styleId="BalloonText">
    <w:name w:val="Balloon Text"/>
    <w:basedOn w:val="Normal"/>
    <w:link w:val="BalloonTextChar"/>
    <w:uiPriority w:val="99"/>
    <w:semiHidden/>
    <w:unhideWhenUsed/>
    <w:rsid w:val="0053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pb.europa.eu/our-work-tools/our-documents/recommendations/recommendations-012020-measures-supplement-transfer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pb.europa.eu/our-work-tools/our-documents/recommendations/recommendations-022020-european-essential-guarantees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2019107C7F34FA9A6262BA68F0C1A" ma:contentTypeVersion="4" ma:contentTypeDescription="Create a new document." ma:contentTypeScope="" ma:versionID="c1196b22a1144e294a40235a1cd91621">
  <xsd:schema xmlns:xsd="http://www.w3.org/2001/XMLSchema" xmlns:xs="http://www.w3.org/2001/XMLSchema" xmlns:p="http://schemas.microsoft.com/office/2006/metadata/properties" xmlns:ns2="34fc3793-cd7e-4fe2-b015-1a6ce0ed88e5" targetNamespace="http://schemas.microsoft.com/office/2006/metadata/properties" ma:root="true" ma:fieldsID="d9d95a3b486c91f47060f823f6af06ba" ns2:_="">
    <xsd:import namespace="34fc3793-cd7e-4fe2-b015-1a6ce0ed8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c3793-cd7e-4fe2-b015-1a6ce0ed8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1153-F2BC-41C8-AAB5-5E713FFB5CFE}">
  <ds:schemaRefs>
    <ds:schemaRef ds:uri="http://schemas.microsoft.com/sharepoint/v3/contenttype/forms"/>
  </ds:schemaRefs>
</ds:datastoreItem>
</file>

<file path=customXml/itemProps2.xml><?xml version="1.0" encoding="utf-8"?>
<ds:datastoreItem xmlns:ds="http://schemas.openxmlformats.org/officeDocument/2006/customXml" ds:itemID="{41314BF6-C7F0-41F9-AF57-E4A82123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c3793-cd7e-4fe2-b015-1a6ce0ed8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DA8ED-B757-438A-87FB-5FA2DAC279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4fc3793-cd7e-4fe2-b015-1a6ce0ed88e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AAB218-40A6-4AE5-AFA1-3FFDDE7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Meehan</dc:creator>
  <cp:keywords/>
  <dc:description/>
  <cp:lastModifiedBy>McCarthy, SiobhanMary</cp:lastModifiedBy>
  <cp:revision>2</cp:revision>
  <cp:lastPrinted>2021-12-14T16:34:00Z</cp:lastPrinted>
  <dcterms:created xsi:type="dcterms:W3CDTF">2022-11-16T17:41:00Z</dcterms:created>
  <dcterms:modified xsi:type="dcterms:W3CDTF">2022-11-16T17:41:00Z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0x0101006A32019107C7F34FA9A6262BA68F0C1A</vt:lpwstr>
  </property>
</Properties>
</file>